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329C" w14:textId="57C829D9" w:rsidR="00E903B7" w:rsidRDefault="00E903B7" w:rsidP="00E903B7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  <w:bookmarkStart w:id="0" w:name="_Hlk56684139"/>
      <w:r>
        <w:rPr>
          <w:rFonts w:ascii="Times New Roman" w:hAnsi="Times New Roman"/>
          <w:b/>
          <w:sz w:val="24"/>
          <w:szCs w:val="24"/>
          <w:lang w:val="ro-RO"/>
        </w:rPr>
        <w:t>Nr.</w:t>
      </w:r>
      <w:r w:rsidR="007573A1">
        <w:rPr>
          <w:rFonts w:ascii="Times New Roman" w:hAnsi="Times New Roman"/>
          <w:b/>
          <w:sz w:val="24"/>
          <w:szCs w:val="24"/>
          <w:lang w:val="ro-RO"/>
        </w:rPr>
        <w:t>697</w:t>
      </w:r>
      <w:r>
        <w:rPr>
          <w:rFonts w:ascii="Times New Roman" w:hAnsi="Times New Roman"/>
          <w:b/>
          <w:sz w:val="24"/>
          <w:szCs w:val="24"/>
          <w:lang w:val="ro-RO"/>
        </w:rPr>
        <w:t>/</w:t>
      </w:r>
      <w:r w:rsidR="007573A1">
        <w:rPr>
          <w:rFonts w:ascii="Times New Roman" w:hAnsi="Times New Roman"/>
          <w:b/>
          <w:sz w:val="24"/>
          <w:szCs w:val="24"/>
          <w:lang w:val="ro-RO"/>
        </w:rPr>
        <w:t>31.01.2025</w:t>
      </w:r>
    </w:p>
    <w:p w14:paraId="419C78BE" w14:textId="77777777" w:rsidR="00E903B7" w:rsidRDefault="00E903B7" w:rsidP="00E903B7">
      <w:pPr>
        <w:pStyle w:val="Frspaiere"/>
        <w:rPr>
          <w:rFonts w:ascii="Times New Roman" w:hAnsi="Times New Roman"/>
          <w:b/>
          <w:sz w:val="24"/>
          <w:szCs w:val="24"/>
          <w:lang w:val="ro-RO"/>
        </w:rPr>
      </w:pPr>
    </w:p>
    <w:p w14:paraId="2AD0E46C" w14:textId="7F5ECC8A" w:rsidR="00E903B7" w:rsidRDefault="00E903B7" w:rsidP="00E903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CĂTRE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 xml:space="preserve">      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UNITĂȚILE DE ÎNVĂȚĂMÂNT PREUNIVERSITAR DIN JUDEȚUL </w:t>
      </w:r>
      <w:r w:rsidR="001B479D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BACĂU</w:t>
      </w:r>
    </w:p>
    <w:p w14:paraId="2AD7BD15" w14:textId="77777777" w:rsidR="00E903B7" w:rsidRDefault="00E903B7" w:rsidP="00E903B7">
      <w:pPr>
        <w:spacing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</w:p>
    <w:p w14:paraId="317D8ACC" w14:textId="77777777" w:rsidR="00E903B7" w:rsidRDefault="00E903B7" w:rsidP="00E903B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ÎN ATENȚIA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 xml:space="preserve">  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ab/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DOAMNELOR/DOMNILOR DIRECTORI </w:t>
      </w:r>
    </w:p>
    <w:p w14:paraId="3842887B" w14:textId="77777777" w:rsidR="00E903B7" w:rsidRDefault="00E903B7" w:rsidP="00E903B7">
      <w:pPr>
        <w:spacing w:line="240" w:lineRule="auto"/>
        <w:ind w:left="1440" w:firstLine="7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CADRELOR DIDACTICE </w:t>
      </w:r>
    </w:p>
    <w:p w14:paraId="6B7A9E63" w14:textId="77777777" w:rsidR="00E903B7" w:rsidRDefault="00E903B7" w:rsidP="00E903B7">
      <w:pPr>
        <w:spacing w:line="240" w:lineRule="auto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</w:p>
    <w:p w14:paraId="5A1B35A6" w14:textId="77777777" w:rsidR="00E903B7" w:rsidRDefault="00E903B7" w:rsidP="00E903B7">
      <w:pPr>
        <w:spacing w:line="240" w:lineRule="auto"/>
        <w:ind w:left="1440" w:firstLine="720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</w:p>
    <w:p w14:paraId="60E5FA8B" w14:textId="77777777" w:rsidR="00E903B7" w:rsidRDefault="00E903B7" w:rsidP="00E903B7">
      <w:pPr>
        <w:spacing w:line="240" w:lineRule="auto"/>
        <w:ind w:firstLine="720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REF.: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Înscrieri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la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etapele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județene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ale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concursurilor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cuprinse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în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Anexa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1 (</w:t>
      </w:r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Lista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proiectelor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educație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extrașcolară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naționale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internaționale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ro-RO" w:eastAsia="zh-CN"/>
        </w:rPr>
        <w:t>,</w:t>
      </w:r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2024 - 2025,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finanțate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Ministerului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Educației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Cercetării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)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Anexa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2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(</w:t>
      </w:r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Lista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proiectelor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educație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extrașcolară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naționale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internaționale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ro-RO" w:eastAsia="zh-CN"/>
        </w:rPr>
        <w:t xml:space="preserve">, </w:t>
      </w:r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2024 - 2025,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fără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finanțare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din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partea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Ministerului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Educației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/>
        </w:rPr>
        <w:t>Cercetării</w:t>
      </w:r>
      <w:proofErr w:type="spellEnd"/>
      <w:r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>)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aprobate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prin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/>
          <w:b/>
          <w:bCs/>
          <w:i/>
          <w:iCs/>
          <w:color w:val="202124"/>
          <w:sz w:val="24"/>
          <w:szCs w:val="24"/>
          <w:lang w:eastAsia="zh-CN" w:bidi="ar"/>
        </w:rPr>
        <w:t>O.M.E.</w:t>
      </w:r>
      <w:r>
        <w:rPr>
          <w:rFonts w:ascii="Times New Roman" w:eastAsia="SimSun" w:hAnsi="Times New Roman"/>
          <w:b/>
          <w:bCs/>
          <w:i/>
          <w:iCs/>
          <w:color w:val="202124"/>
          <w:sz w:val="24"/>
          <w:szCs w:val="24"/>
          <w:lang w:val="ro-RO" w:eastAsia="zh-CN" w:bidi="ar"/>
        </w:rPr>
        <w:t>C.</w:t>
      </w:r>
      <w:r>
        <w:rPr>
          <w:rFonts w:ascii="Times New Roman" w:eastAsia="SimSun" w:hAnsi="Times New Roman"/>
          <w:b/>
          <w:bCs/>
          <w:i/>
          <w:iCs/>
          <w:color w:val="202124"/>
          <w:sz w:val="24"/>
          <w:szCs w:val="24"/>
          <w:lang w:eastAsia="zh-CN" w:bidi="ar"/>
        </w:rPr>
        <w:t xml:space="preserve"> nr. </w:t>
      </w:r>
      <w:hyperlink r:id="rId7" w:tgtFrame="https://www.edu.ro/_blank" w:history="1">
        <w:r>
          <w:rPr>
            <w:rStyle w:val="Hyperlink"/>
            <w:rFonts w:ascii="Times New Roman" w:eastAsia="SimSun" w:hAnsi="Times New Roman"/>
            <w:b/>
            <w:bCs/>
            <w:i/>
            <w:iCs/>
            <w:color w:val="202124"/>
            <w:sz w:val="24"/>
            <w:szCs w:val="24"/>
            <w:lang w:eastAsia="zh-CN" w:bidi="ar"/>
          </w:rPr>
          <w:t>3.026/14.01.2025</w:t>
        </w:r>
      </w:hyperlink>
      <w:r>
        <w:rPr>
          <w:rFonts w:ascii="Times New Roman" w:eastAsia="SimSun" w:hAnsi="Times New Roman"/>
          <w:b/>
          <w:bCs/>
          <w:i/>
          <w:iCs/>
          <w:color w:val="202124"/>
          <w:sz w:val="24"/>
          <w:szCs w:val="24"/>
          <w:lang w:eastAsia="zh-CN" w:bidi="ar"/>
        </w:rPr>
        <w:t> </w:t>
      </w:r>
    </w:p>
    <w:p w14:paraId="5C38BECC" w14:textId="77777777" w:rsidR="00E903B7" w:rsidRDefault="00E903B7" w:rsidP="00E903B7">
      <w:pPr>
        <w:spacing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</w:p>
    <w:p w14:paraId="07FC89C8" w14:textId="77777777" w:rsidR="00E903B7" w:rsidRDefault="00E903B7" w:rsidP="00E903B7">
      <w:pPr>
        <w:spacing w:line="24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val="ro-RO" w:eastAsia="zh-CN"/>
        </w:rPr>
      </w:pP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temeiul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Anexei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2 la O.M.E.C.T.S. nr. 3035/2012</w:t>
      </w:r>
      <w:r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,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O.M.E.C. nr. 3.026/14.01.2025</w:t>
      </w:r>
      <w:r>
        <w:rPr>
          <w:rFonts w:ascii="Times New Roman" w:eastAsia="SimSun" w:hAnsi="Times New Roman"/>
          <w:color w:val="000000"/>
          <w:sz w:val="24"/>
          <w:szCs w:val="24"/>
          <w:lang w:val="ro-RO" w:eastAsia="zh-CN"/>
        </w:rPr>
        <w:t xml:space="preserve"> și având în vedere adresa M.E.C. nr. 24434/27.01.2025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vă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comunicăm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centralizatorul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anexă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,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termenele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modalitățile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înscriere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la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etapele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județene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ale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concursurilor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naționale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internaționale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cuprinse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Anexele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1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2 la 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>O.M.E.C. nr. 3.026/14.01.2025</w:t>
      </w:r>
      <w:r>
        <w:rPr>
          <w:rFonts w:ascii="Times New Roman" w:eastAsia="SimSun" w:hAnsi="Times New Roman"/>
          <w:color w:val="000000"/>
          <w:sz w:val="24"/>
          <w:szCs w:val="24"/>
          <w:lang w:val="ro-RO" w:eastAsia="zh-CN"/>
        </w:rPr>
        <w:t>.</w:t>
      </w:r>
    </w:p>
    <w:p w14:paraId="7E3E5FD2" w14:textId="53FD6392" w:rsidR="00E903B7" w:rsidRDefault="00E903B7" w:rsidP="00E903B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>Centralizatorul</w:t>
      </w:r>
      <w:proofErr w:type="spellEnd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>anexă</w:t>
      </w:r>
      <w:proofErr w:type="spellEnd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 xml:space="preserve"> la </w:t>
      </w:r>
      <w:proofErr w:type="spellStart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>prezenta</w:t>
      </w:r>
      <w:proofErr w:type="spellEnd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>adresă</w:t>
      </w:r>
      <w:proofErr w:type="spellEnd"/>
      <w:r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 xml:space="preserve"> ISJ </w:t>
      </w:r>
      <w:proofErr w:type="spellStart"/>
      <w:r w:rsidR="000115E4"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>Bacău</w:t>
      </w:r>
      <w:proofErr w:type="spellEnd"/>
      <w:r w:rsidR="000115E4">
        <w:rPr>
          <w:rFonts w:ascii="Times New Roman" w:eastAsia="SimSun" w:hAnsi="Times New Roman"/>
          <w:color w:val="202124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cuprinde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: </w:t>
      </w:r>
    </w:p>
    <w:p w14:paraId="5654D81D" w14:textId="77777777" w:rsidR="001B6B53" w:rsidRDefault="00E903B7" w:rsidP="001B6B5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proofErr w:type="spellStart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Anexa</w:t>
      </w:r>
      <w:proofErr w:type="spellEnd"/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1. 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Lista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proiectelor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educație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extrașcolară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naționale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internaționale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care se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val="ro-RO"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desfășoară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România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în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anul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școlar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2024 - 2025, </w:t>
      </w:r>
      <w:proofErr w:type="spellStart"/>
      <w:r w:rsidRPr="00ED4BE4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finanțate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de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Ministerului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Educației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și</w:t>
      </w:r>
      <w:proofErr w:type="spellEnd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Cercetării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– cu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termene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pentru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etapele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județene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link-u</w:t>
      </w:r>
      <w:r w:rsidR="00D21B36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l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aferent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; </w:t>
      </w:r>
      <w:r w:rsidRPr="001B6B53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</w:t>
      </w:r>
      <w:r w:rsidRPr="001B6B53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ro-RO" w:eastAsia="zh-CN" w:bidi="ar"/>
        </w:rPr>
        <w:t xml:space="preserve"> </w:t>
      </w:r>
      <w:r w:rsidRPr="001B6B53"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ro-RO" w:eastAsia="zh-CN" w:bidi="ar"/>
        </w:rPr>
        <w:tab/>
      </w:r>
    </w:p>
    <w:p w14:paraId="4E619A5F" w14:textId="7EC13D2D" w:rsidR="00E903B7" w:rsidRPr="001B6B53" w:rsidRDefault="00E903B7" w:rsidP="001B6B53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proofErr w:type="spellStart"/>
      <w:r w:rsidRPr="001B6B5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Anexa</w:t>
      </w:r>
      <w:proofErr w:type="spellEnd"/>
      <w:r w:rsidRPr="001B6B53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2.</w:t>
      </w:r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Lista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proiectelor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de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educație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extrașcolară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naționale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și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internaționale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care se</w:t>
      </w:r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val="ro-RO"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desfășoară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în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România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în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anul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școlar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2024 - 2025, </w:t>
      </w:r>
      <w:proofErr w:type="spellStart"/>
      <w:r w:rsidRPr="001B6B5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fără</w:t>
      </w:r>
      <w:proofErr w:type="spellEnd"/>
      <w:r w:rsidRPr="001B6B5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b/>
          <w:i/>
          <w:iCs/>
          <w:color w:val="000000"/>
          <w:sz w:val="24"/>
          <w:szCs w:val="24"/>
          <w:lang w:eastAsia="zh-CN"/>
        </w:rPr>
        <w:t>finanțare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din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partea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Ministerului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Educației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și</w:t>
      </w:r>
      <w:proofErr w:type="spellEnd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1B6B53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/>
        </w:rPr>
        <w:t>Cercetării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 cu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termene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înscriere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pentru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etapele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județene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link-u</w:t>
      </w:r>
      <w:r w:rsidR="00D21B36"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l</w:t>
      </w:r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aferent</w:t>
      </w:r>
      <w:proofErr w:type="spellEnd"/>
      <w:r w:rsidRPr="001B6B53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; </w:t>
      </w:r>
    </w:p>
    <w:p w14:paraId="28F82441" w14:textId="77777777" w:rsidR="001B6B53" w:rsidRDefault="001B6B53" w:rsidP="001B6B53">
      <w:pPr>
        <w:spacing w:after="160" w:line="240" w:lineRule="auto"/>
        <w:ind w:left="420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</w:p>
    <w:p w14:paraId="78244FDD" w14:textId="77777777" w:rsidR="00E903B7" w:rsidRDefault="00E903B7" w:rsidP="00E903B7">
      <w:pPr>
        <w:pStyle w:val="Frspaiere"/>
        <w:jc w:val="both"/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>Notă</w:t>
      </w:r>
      <w:r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: </w:t>
      </w:r>
    </w:p>
    <w:p w14:paraId="2418C4E7" w14:textId="7F6EE2ED" w:rsidR="00E903B7" w:rsidRDefault="00BB10DA" w:rsidP="00D21B36">
      <w:pPr>
        <w:pStyle w:val="Frspaiere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P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>entru concursurile care au stabilită etapa națională în perioada feb</w:t>
      </w:r>
      <w:r w:rsidR="00794D1C">
        <w:rPr>
          <w:rFonts w:ascii="Times New Roman" w:hAnsi="Times New Roman"/>
          <w:bCs/>
          <w:sz w:val="24"/>
          <w:szCs w:val="24"/>
          <w:lang w:val="ro-RO"/>
        </w:rPr>
        <w:t>r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>uarie-iunie 2025, înscrierile pentru etapa județeană au loc până cel mai t</w:t>
      </w:r>
      <w:r w:rsidR="000115E4">
        <w:rPr>
          <w:rFonts w:ascii="Times New Roman" w:hAnsi="Times New Roman"/>
          <w:bCs/>
          <w:sz w:val="24"/>
          <w:szCs w:val="24"/>
          <w:lang w:val="ro-RO"/>
        </w:rPr>
        <w:t>â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 xml:space="preserve">rziu  la </w:t>
      </w:r>
      <w:r w:rsidR="00CA4D9E">
        <w:rPr>
          <w:rFonts w:ascii="Times New Roman" w:hAnsi="Times New Roman"/>
          <w:bCs/>
          <w:sz w:val="24"/>
          <w:szCs w:val="24"/>
          <w:lang w:val="ro-RO"/>
        </w:rPr>
        <w:t>data de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>14 martie 2025;</w:t>
      </w:r>
    </w:p>
    <w:p w14:paraId="5F0AB342" w14:textId="7D1F22A2" w:rsidR="00E903B7" w:rsidRPr="00652F85" w:rsidRDefault="00BB10DA" w:rsidP="00D21B36">
      <w:pPr>
        <w:pStyle w:val="Frspaiere"/>
        <w:numPr>
          <w:ilvl w:val="0"/>
          <w:numId w:val="3"/>
        </w:numPr>
        <w:tabs>
          <w:tab w:val="left" w:pos="420"/>
        </w:tabs>
        <w:spacing w:line="276" w:lineRule="auto"/>
        <w:jc w:val="both"/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en-US" w:eastAsia="zh-CN" w:bidi="ar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P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>entru concursurile care au stabilită etapa națională în perioada  iulie- august 2025, înscrierile pentru etapa județeană au loc până cel mai t</w:t>
      </w:r>
      <w:r w:rsidR="001C7301">
        <w:rPr>
          <w:rFonts w:ascii="Times New Roman" w:hAnsi="Times New Roman"/>
          <w:bCs/>
          <w:sz w:val="24"/>
          <w:szCs w:val="24"/>
          <w:lang w:val="ro-RO"/>
        </w:rPr>
        <w:t>â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>rziu  la</w:t>
      </w:r>
      <w:r w:rsidR="00CA4D9E">
        <w:rPr>
          <w:rFonts w:ascii="Times New Roman" w:hAnsi="Times New Roman"/>
          <w:bCs/>
          <w:sz w:val="24"/>
          <w:szCs w:val="24"/>
          <w:lang w:val="ro-RO"/>
        </w:rPr>
        <w:t xml:space="preserve"> data de</w:t>
      </w:r>
      <w:r w:rsidR="00E903B7">
        <w:rPr>
          <w:rFonts w:ascii="Times New Roman" w:hAnsi="Times New Roman"/>
          <w:bCs/>
          <w:sz w:val="24"/>
          <w:szCs w:val="24"/>
          <w:lang w:val="ro-RO"/>
        </w:rPr>
        <w:t xml:space="preserve"> 14 mai 2025;</w:t>
      </w:r>
    </w:p>
    <w:p w14:paraId="40ADCE36" w14:textId="2345C84B" w:rsidR="00D21B36" w:rsidRDefault="00BB10DA" w:rsidP="00D21B36">
      <w:pPr>
        <w:numPr>
          <w:ilvl w:val="0"/>
          <w:numId w:val="3"/>
        </w:numPr>
        <w:tabs>
          <w:tab w:val="left" w:pos="420"/>
        </w:tabs>
        <w:spacing w:after="160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</w:t>
      </w:r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entru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concursurile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organizate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către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Ministerul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Educației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 și Cercetării, respectiv</w:t>
      </w:r>
      <w:r w:rsidR="003142D6"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 de </w:t>
      </w:r>
      <w:r w:rsidR="00CB07CC"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>c</w:t>
      </w:r>
      <w:r w:rsidR="003142D6"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ătre </w:t>
      </w:r>
      <w:r w:rsidR="00E903B7"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parteneri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se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vor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transmite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adrese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M.E.</w:t>
      </w:r>
      <w:r w:rsidR="00E903B7"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>C.</w:t>
      </w:r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ISJ </w:t>
      </w:r>
      <w:r w:rsidR="00591410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BC</w:t>
      </w:r>
      <w:r w:rsidR="00E903B7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. </w:t>
      </w:r>
    </w:p>
    <w:p w14:paraId="1B20482B" w14:textId="1CC15A31" w:rsidR="00725E10" w:rsidRPr="00D21B36" w:rsidRDefault="003677AF" w:rsidP="00D21B36">
      <w:pPr>
        <w:numPr>
          <w:ilvl w:val="0"/>
          <w:numId w:val="3"/>
        </w:numPr>
        <w:tabs>
          <w:tab w:val="left" w:pos="420"/>
        </w:tabs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D21B36">
        <w:rPr>
          <w:rFonts w:ascii="Times New Roman" w:hAnsi="Times New Roman"/>
          <w:iCs/>
          <w:sz w:val="24"/>
          <w:szCs w:val="24"/>
        </w:rPr>
        <w:t>P</w:t>
      </w:r>
      <w:r w:rsidR="006D65F9" w:rsidRPr="00D21B36">
        <w:rPr>
          <w:rFonts w:ascii="Times New Roman" w:hAnsi="Times New Roman"/>
          <w:iCs/>
          <w:sz w:val="24"/>
          <w:szCs w:val="24"/>
        </w:rPr>
        <w:t>articiparea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etapa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națională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condiționată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câștigarea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unei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etape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6D65F9" w:rsidRPr="00D21B36">
        <w:rPr>
          <w:rFonts w:ascii="Times New Roman" w:hAnsi="Times New Roman"/>
          <w:iCs/>
          <w:sz w:val="24"/>
          <w:szCs w:val="24"/>
        </w:rPr>
        <w:t>calificare</w:t>
      </w:r>
      <w:proofErr w:type="spellEnd"/>
      <w:r w:rsidR="006D65F9" w:rsidRPr="00D21B36">
        <w:rPr>
          <w:rFonts w:ascii="Times New Roman" w:hAnsi="Times New Roman"/>
          <w:iCs/>
          <w:sz w:val="24"/>
          <w:szCs w:val="24"/>
        </w:rPr>
        <w:t>;</w:t>
      </w:r>
      <w:r w:rsidR="00725E10" w:rsidRPr="00D21B36">
        <w:rPr>
          <w:rFonts w:ascii="Times New Roman" w:hAnsi="Times New Roman"/>
          <w:iCs/>
          <w:sz w:val="24"/>
          <w:szCs w:val="24"/>
        </w:rPr>
        <w:t xml:space="preserve"> </w:t>
      </w:r>
    </w:p>
    <w:p w14:paraId="1E7D3AC5" w14:textId="77777777" w:rsidR="00530E68" w:rsidRPr="00530E68" w:rsidRDefault="00725E10" w:rsidP="007F270F">
      <w:pPr>
        <w:numPr>
          <w:ilvl w:val="0"/>
          <w:numId w:val="3"/>
        </w:numPr>
        <w:tabs>
          <w:tab w:val="left" w:pos="420"/>
        </w:tabs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r w:rsidRPr="00C03D46">
        <w:rPr>
          <w:rFonts w:ascii="Times New Roman" w:hAnsi="Times New Roman"/>
          <w:iCs/>
          <w:sz w:val="24"/>
          <w:szCs w:val="24"/>
        </w:rPr>
        <w:t xml:space="preserve">Se pot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considera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anumite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activități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="00CB07CC" w:rsidRPr="00C03D46">
        <w:rPr>
          <w:rFonts w:ascii="Times New Roman" w:hAnsi="Times New Roman"/>
          <w:iCs/>
          <w:sz w:val="24"/>
          <w:szCs w:val="24"/>
        </w:rPr>
        <w:t>Calendarul</w:t>
      </w:r>
      <w:proofErr w:type="spellEnd"/>
      <w:r w:rsidR="00CB07CC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B07CC" w:rsidRPr="00C03D46">
        <w:rPr>
          <w:rFonts w:ascii="Times New Roman" w:hAnsi="Times New Roman"/>
          <w:iCs/>
          <w:sz w:val="24"/>
          <w:szCs w:val="24"/>
        </w:rPr>
        <w:t>Proiectelor</w:t>
      </w:r>
      <w:proofErr w:type="spellEnd"/>
      <w:r w:rsidR="00CB07CC" w:rsidRPr="00C03D46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CB07CC" w:rsidRPr="00C03D46">
        <w:rPr>
          <w:rFonts w:ascii="Times New Roman" w:hAnsi="Times New Roman"/>
          <w:iCs/>
          <w:sz w:val="24"/>
          <w:szCs w:val="24"/>
        </w:rPr>
        <w:t>Educație</w:t>
      </w:r>
      <w:proofErr w:type="spellEnd"/>
      <w:r w:rsidR="00CB07CC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CB07CC" w:rsidRPr="00C03D46">
        <w:rPr>
          <w:rFonts w:ascii="Times New Roman" w:hAnsi="Times New Roman"/>
          <w:iCs/>
          <w:sz w:val="24"/>
          <w:szCs w:val="24"/>
        </w:rPr>
        <w:t>Extrașcolară</w:t>
      </w:r>
      <w:proofErr w:type="spellEnd"/>
      <w:r w:rsidR="00CB07CC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A0687" w:rsidRPr="00C03D46">
        <w:rPr>
          <w:rFonts w:ascii="Times New Roman" w:hAnsi="Times New Roman"/>
          <w:iCs/>
          <w:sz w:val="24"/>
          <w:szCs w:val="24"/>
        </w:rPr>
        <w:t>J</w:t>
      </w:r>
      <w:r w:rsidR="00CB07CC" w:rsidRPr="00C03D46">
        <w:rPr>
          <w:rFonts w:ascii="Times New Roman" w:hAnsi="Times New Roman"/>
          <w:iCs/>
          <w:sz w:val="24"/>
          <w:szCs w:val="24"/>
        </w:rPr>
        <w:t>udețen</w:t>
      </w:r>
      <w:r w:rsidR="003A0687" w:rsidRPr="00C03D46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3A0687" w:rsidRPr="00C03D46">
        <w:rPr>
          <w:rFonts w:ascii="Times New Roman" w:hAnsi="Times New Roman"/>
          <w:iCs/>
          <w:sz w:val="24"/>
          <w:szCs w:val="24"/>
        </w:rPr>
        <w:t xml:space="preserve"> (</w:t>
      </w:r>
      <w:r w:rsidRPr="00C03D46">
        <w:rPr>
          <w:rFonts w:ascii="Times New Roman" w:hAnsi="Times New Roman"/>
          <w:iCs/>
          <w:sz w:val="24"/>
          <w:szCs w:val="24"/>
        </w:rPr>
        <w:t>CPEEJ</w:t>
      </w:r>
      <w:r w:rsidR="003A0687" w:rsidRPr="00C03D46">
        <w:rPr>
          <w:rFonts w:ascii="Times New Roman" w:hAnsi="Times New Roman"/>
          <w:iCs/>
          <w:sz w:val="24"/>
          <w:szCs w:val="24"/>
        </w:rPr>
        <w:t>)</w:t>
      </w:r>
      <w:r w:rsidR="00302DC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02DC7">
        <w:rPr>
          <w:rFonts w:ascii="Times New Roman" w:hAnsi="Times New Roman"/>
          <w:iCs/>
          <w:sz w:val="24"/>
          <w:szCs w:val="24"/>
        </w:rPr>
        <w:t>sau</w:t>
      </w:r>
      <w:proofErr w:type="spellEnd"/>
      <w:r w:rsidR="0073395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33956">
        <w:rPr>
          <w:rFonts w:ascii="Times New Roman" w:hAnsi="Times New Roman"/>
          <w:iCs/>
          <w:sz w:val="24"/>
          <w:szCs w:val="24"/>
        </w:rPr>
        <w:t>Regionale</w:t>
      </w:r>
      <w:proofErr w:type="spellEnd"/>
      <w:r w:rsidR="00733956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="00733956">
        <w:rPr>
          <w:rFonts w:ascii="Times New Roman" w:hAnsi="Times New Roman"/>
          <w:iCs/>
          <w:sz w:val="24"/>
          <w:szCs w:val="24"/>
        </w:rPr>
        <w:t>Interjudețene</w:t>
      </w:r>
      <w:proofErr w:type="spellEnd"/>
      <w:r w:rsidR="00733956">
        <w:rPr>
          <w:rFonts w:ascii="Times New Roman" w:hAnsi="Times New Roman"/>
          <w:iCs/>
          <w:sz w:val="24"/>
          <w:szCs w:val="24"/>
        </w:rPr>
        <w:t xml:space="preserve"> (CPEERI)</w:t>
      </w:r>
      <w:r w:rsidRPr="00C03D46">
        <w:rPr>
          <w:rFonts w:ascii="Times New Roman" w:hAnsi="Times New Roman"/>
          <w:iCs/>
          <w:sz w:val="24"/>
          <w:szCs w:val="24"/>
        </w:rPr>
        <w:t xml:space="preserve"> ca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fiind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etape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calificare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proiectele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="003A0687" w:rsidRPr="00C03D46">
        <w:rPr>
          <w:rFonts w:ascii="Times New Roman" w:hAnsi="Times New Roman"/>
          <w:iCs/>
          <w:sz w:val="24"/>
          <w:szCs w:val="24"/>
        </w:rPr>
        <w:lastRenderedPageBreak/>
        <w:t>Calendarul</w:t>
      </w:r>
      <w:proofErr w:type="spellEnd"/>
      <w:r w:rsidR="003A0687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A0687" w:rsidRPr="00C03D46">
        <w:rPr>
          <w:rFonts w:ascii="Times New Roman" w:hAnsi="Times New Roman"/>
          <w:iCs/>
          <w:sz w:val="24"/>
          <w:szCs w:val="24"/>
        </w:rPr>
        <w:t>Proiectelor</w:t>
      </w:r>
      <w:proofErr w:type="spellEnd"/>
      <w:r w:rsidR="003A0687" w:rsidRPr="00C03D46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="003A0687" w:rsidRPr="00C03D46">
        <w:rPr>
          <w:rFonts w:ascii="Times New Roman" w:hAnsi="Times New Roman"/>
          <w:iCs/>
          <w:sz w:val="24"/>
          <w:szCs w:val="24"/>
        </w:rPr>
        <w:t>Educație</w:t>
      </w:r>
      <w:proofErr w:type="spellEnd"/>
      <w:r w:rsidR="003A0687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A0687" w:rsidRPr="00C03D46">
        <w:rPr>
          <w:rFonts w:ascii="Times New Roman" w:hAnsi="Times New Roman"/>
          <w:iCs/>
          <w:sz w:val="24"/>
          <w:szCs w:val="24"/>
        </w:rPr>
        <w:t>Exrașcolară</w:t>
      </w:r>
      <w:proofErr w:type="spellEnd"/>
      <w:r w:rsidR="003A0687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A0687" w:rsidRPr="00C03D46">
        <w:rPr>
          <w:rFonts w:ascii="Times New Roman" w:hAnsi="Times New Roman"/>
          <w:iCs/>
          <w:sz w:val="24"/>
          <w:szCs w:val="24"/>
        </w:rPr>
        <w:t>Naționale</w:t>
      </w:r>
      <w:proofErr w:type="spellEnd"/>
      <w:r w:rsidR="003A0687" w:rsidRPr="00C03D46">
        <w:rPr>
          <w:rFonts w:ascii="Times New Roman" w:hAnsi="Times New Roman"/>
          <w:iCs/>
          <w:sz w:val="24"/>
          <w:szCs w:val="24"/>
        </w:rPr>
        <w:t xml:space="preserve"> (</w:t>
      </w:r>
      <w:r w:rsidRPr="00C03D46">
        <w:rPr>
          <w:rFonts w:ascii="Times New Roman" w:hAnsi="Times New Roman"/>
          <w:iCs/>
          <w:sz w:val="24"/>
          <w:szCs w:val="24"/>
        </w:rPr>
        <w:t>CPEEN</w:t>
      </w:r>
      <w:r w:rsidR="003A0687" w:rsidRPr="00C03D46">
        <w:rPr>
          <w:rFonts w:ascii="Times New Roman" w:hAnsi="Times New Roman"/>
          <w:iCs/>
          <w:sz w:val="24"/>
          <w:szCs w:val="24"/>
        </w:rPr>
        <w:t>)</w:t>
      </w:r>
      <w:r w:rsidR="0073395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733956">
        <w:rPr>
          <w:rFonts w:ascii="Times New Roman" w:hAnsi="Times New Roman"/>
          <w:sz w:val="24"/>
          <w:szCs w:val="24"/>
        </w:rPr>
        <w:t>dacă</w:t>
      </w:r>
      <w:proofErr w:type="spellEnd"/>
      <w:r w:rsidR="00733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956">
        <w:rPr>
          <w:rFonts w:ascii="Times New Roman" w:hAnsi="Times New Roman"/>
          <w:sz w:val="24"/>
          <w:szCs w:val="24"/>
        </w:rPr>
        <w:t>secțiunile</w:t>
      </w:r>
      <w:proofErr w:type="spellEnd"/>
      <w:r w:rsidR="00733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956">
        <w:rPr>
          <w:rFonts w:ascii="Times New Roman" w:hAnsi="Times New Roman"/>
          <w:sz w:val="24"/>
          <w:szCs w:val="24"/>
        </w:rPr>
        <w:t>concursurilor</w:t>
      </w:r>
      <w:proofErr w:type="spellEnd"/>
      <w:r w:rsidR="00733956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="00733956">
        <w:rPr>
          <w:rFonts w:ascii="Times New Roman" w:hAnsi="Times New Roman"/>
          <w:sz w:val="24"/>
          <w:szCs w:val="24"/>
        </w:rPr>
        <w:t>asemănătoare</w:t>
      </w:r>
      <w:proofErr w:type="spellEnd"/>
      <w:r w:rsidR="00733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956">
        <w:rPr>
          <w:rFonts w:ascii="Times New Roman" w:hAnsi="Times New Roman"/>
          <w:sz w:val="24"/>
          <w:szCs w:val="24"/>
        </w:rPr>
        <w:t>sau</w:t>
      </w:r>
      <w:proofErr w:type="spellEnd"/>
      <w:r w:rsidR="007339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956">
        <w:rPr>
          <w:rFonts w:ascii="Times New Roman" w:hAnsi="Times New Roman"/>
          <w:sz w:val="24"/>
          <w:szCs w:val="24"/>
        </w:rPr>
        <w:t>coincid</w:t>
      </w:r>
      <w:proofErr w:type="spellEnd"/>
      <w:r w:rsidRPr="00C03D46"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>;</w:t>
      </w:r>
      <w:r w:rsidR="00464BF8" w:rsidRPr="00C03D46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</w:t>
      </w:r>
    </w:p>
    <w:p w14:paraId="1083600D" w14:textId="7A9D8228" w:rsidR="003677AF" w:rsidRPr="00C03D46" w:rsidRDefault="003677AF" w:rsidP="007F270F">
      <w:pPr>
        <w:numPr>
          <w:ilvl w:val="0"/>
          <w:numId w:val="3"/>
        </w:numPr>
        <w:tabs>
          <w:tab w:val="left" w:pos="420"/>
        </w:tabs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C03D46">
        <w:rPr>
          <w:rFonts w:ascii="Times New Roman" w:hAnsi="Times New Roman"/>
          <w:iCs/>
          <w:sz w:val="24"/>
          <w:szCs w:val="24"/>
        </w:rPr>
        <w:t>Dacă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județ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există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doar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singură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înscriere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la un concurs,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elevul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echipajul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formația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etc. se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poate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înscrie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direct la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etapa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națională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, cu o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confirmare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partea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inspectorului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F0554" w:rsidRPr="00C03D46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="008F0554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F0554" w:rsidRPr="00C03D46">
        <w:rPr>
          <w:rFonts w:ascii="Times New Roman" w:hAnsi="Times New Roman"/>
          <w:iCs/>
          <w:sz w:val="24"/>
          <w:szCs w:val="24"/>
        </w:rPr>
        <w:t>activități</w:t>
      </w:r>
      <w:proofErr w:type="spellEnd"/>
      <w:r w:rsidR="008F0554"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8F0554" w:rsidRPr="00C03D46">
        <w:rPr>
          <w:rFonts w:ascii="Times New Roman" w:hAnsi="Times New Roman"/>
          <w:iCs/>
          <w:sz w:val="24"/>
          <w:szCs w:val="24"/>
        </w:rPr>
        <w:t>extracurriculare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că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județ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nu s-a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organizat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etapa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județeană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, din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lipsă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3D46">
        <w:rPr>
          <w:rFonts w:ascii="Times New Roman" w:hAnsi="Times New Roman"/>
          <w:iCs/>
          <w:sz w:val="24"/>
          <w:szCs w:val="24"/>
        </w:rPr>
        <w:t>înscrieri</w:t>
      </w:r>
      <w:proofErr w:type="spellEnd"/>
      <w:r w:rsidRPr="00C03D46">
        <w:rPr>
          <w:rFonts w:ascii="Times New Roman" w:hAnsi="Times New Roman"/>
          <w:iCs/>
          <w:sz w:val="24"/>
          <w:szCs w:val="24"/>
        </w:rPr>
        <w:t>;</w:t>
      </w:r>
    </w:p>
    <w:p w14:paraId="69A2F606" w14:textId="63771CA8" w:rsidR="002336F2" w:rsidRPr="00151862" w:rsidRDefault="002336F2" w:rsidP="00D21B36">
      <w:pPr>
        <w:numPr>
          <w:ilvl w:val="0"/>
          <w:numId w:val="3"/>
        </w:numPr>
        <w:tabs>
          <w:tab w:val="left" w:pos="420"/>
        </w:tabs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151862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toate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concursurile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la care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exista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suficienți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înscriși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se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organiza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o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etapă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preselecție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astfel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încât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la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etapele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naționale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ale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concursurilor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participa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cei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mai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buni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copii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cele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mai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bune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echipaje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din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județ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Participanților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le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fi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comunicate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timp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util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locul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și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data de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desfășurare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etapei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județene</w:t>
      </w:r>
      <w:proofErr w:type="spellEnd"/>
      <w:r w:rsidR="00725E10">
        <w:rPr>
          <w:rFonts w:ascii="Times New Roman" w:hAnsi="Times New Roman"/>
          <w:iCs/>
          <w:sz w:val="24"/>
          <w:szCs w:val="24"/>
        </w:rPr>
        <w:t>;</w:t>
      </w:r>
    </w:p>
    <w:p w14:paraId="37A04D91" w14:textId="78C54843" w:rsidR="00D379EE" w:rsidRPr="00151862" w:rsidRDefault="00D379EE" w:rsidP="00D21B36">
      <w:pPr>
        <w:numPr>
          <w:ilvl w:val="0"/>
          <w:numId w:val="3"/>
        </w:numPr>
        <w:tabs>
          <w:tab w:val="left" w:pos="420"/>
        </w:tabs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151862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cazul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care la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etapa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națională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nu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există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minimum 5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înscriși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la o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secțiune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categorie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vârstă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aceasta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nu se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organiza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și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participanții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fi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înscriși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la o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secțiune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categorie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similară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dacă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este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posibil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, cu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acordul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acestora</w:t>
      </w:r>
      <w:proofErr w:type="spellEnd"/>
      <w:r w:rsidR="00725E10">
        <w:rPr>
          <w:rFonts w:ascii="Times New Roman" w:hAnsi="Times New Roman"/>
          <w:iCs/>
          <w:sz w:val="24"/>
          <w:szCs w:val="24"/>
        </w:rPr>
        <w:t>;</w:t>
      </w:r>
    </w:p>
    <w:p w14:paraId="5CF853FE" w14:textId="77777777" w:rsidR="005C313A" w:rsidRPr="005C313A" w:rsidRDefault="00074F11" w:rsidP="005C313A">
      <w:pPr>
        <w:pStyle w:val="Frspaiere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151862">
        <w:rPr>
          <w:rFonts w:ascii="Times New Roman" w:hAnsi="Times New Roman"/>
          <w:iCs/>
          <w:sz w:val="24"/>
          <w:szCs w:val="24"/>
        </w:rPr>
        <w:t>Nerespectarea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prevederilor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regulamentului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propriu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și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a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condițiilor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prevăzute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15186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Regulamentul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cuprinse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în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calendarul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activităților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educative, </w:t>
      </w:r>
      <w:proofErr w:type="spellStart"/>
      <w:r w:rsidRPr="00151862">
        <w:rPr>
          <w:rFonts w:ascii="Times New Roman" w:hAnsi="Times New Roman"/>
          <w:sz w:val="24"/>
          <w:szCs w:val="24"/>
        </w:rPr>
        <w:t>școlare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și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extrașcolare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51862">
        <w:rPr>
          <w:rFonts w:ascii="Times New Roman" w:hAnsi="Times New Roman"/>
          <w:sz w:val="24"/>
          <w:szCs w:val="24"/>
        </w:rPr>
        <w:t>anexa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2 la OMECTS nr. 3035/2012, cu </w:t>
      </w:r>
      <w:proofErr w:type="spellStart"/>
      <w:r w:rsidRPr="00151862">
        <w:rPr>
          <w:rFonts w:ascii="Times New Roman" w:hAnsi="Times New Roman"/>
          <w:sz w:val="24"/>
          <w:szCs w:val="24"/>
        </w:rPr>
        <w:t>modificările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și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completările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ulterioare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51862">
        <w:rPr>
          <w:rFonts w:ascii="Times New Roman" w:hAnsi="Times New Roman"/>
          <w:sz w:val="24"/>
          <w:szCs w:val="24"/>
        </w:rPr>
        <w:t>duce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151862">
        <w:rPr>
          <w:rFonts w:ascii="Times New Roman" w:hAnsi="Times New Roman"/>
          <w:sz w:val="24"/>
          <w:szCs w:val="24"/>
        </w:rPr>
        <w:t>eliminarea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concursului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151862">
        <w:rPr>
          <w:rFonts w:ascii="Times New Roman" w:hAnsi="Times New Roman"/>
          <w:sz w:val="24"/>
          <w:szCs w:val="24"/>
        </w:rPr>
        <w:t>calendarele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1862">
        <w:rPr>
          <w:rFonts w:ascii="Times New Roman" w:hAnsi="Times New Roman"/>
          <w:sz w:val="24"/>
          <w:szCs w:val="24"/>
        </w:rPr>
        <w:t>proiecte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151862">
        <w:rPr>
          <w:rFonts w:ascii="Times New Roman" w:hAnsi="Times New Roman"/>
          <w:sz w:val="24"/>
          <w:szCs w:val="24"/>
        </w:rPr>
        <w:t>educație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extrașcolară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862">
        <w:rPr>
          <w:rFonts w:ascii="Times New Roman" w:hAnsi="Times New Roman"/>
          <w:sz w:val="24"/>
          <w:szCs w:val="24"/>
        </w:rPr>
        <w:t>pentru</w:t>
      </w:r>
      <w:proofErr w:type="spellEnd"/>
      <w:r w:rsidRPr="00151862">
        <w:rPr>
          <w:rFonts w:ascii="Times New Roman" w:hAnsi="Times New Roman"/>
          <w:sz w:val="24"/>
          <w:szCs w:val="24"/>
        </w:rPr>
        <w:t xml:space="preserve"> 5 ani</w:t>
      </w:r>
      <w:r w:rsidR="00725E10">
        <w:rPr>
          <w:rFonts w:ascii="Times New Roman" w:hAnsi="Times New Roman"/>
          <w:sz w:val="24"/>
          <w:szCs w:val="24"/>
        </w:rPr>
        <w:t>.</w:t>
      </w:r>
      <w:r w:rsidRPr="00151862">
        <w:rPr>
          <w:rFonts w:ascii="Times New Roman" w:hAnsi="Times New Roman"/>
          <w:sz w:val="24"/>
          <w:szCs w:val="24"/>
        </w:rPr>
        <w:t xml:space="preserve"> </w:t>
      </w:r>
    </w:p>
    <w:p w14:paraId="64BF9AF5" w14:textId="4DF92C25" w:rsidR="00E903B7" w:rsidRPr="005C313A" w:rsidRDefault="00E903B7" w:rsidP="005C313A">
      <w:pPr>
        <w:pStyle w:val="Frspaiere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Detaliile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specifice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organizării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etapelor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județene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ale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concursurilor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(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modalitatea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transmitere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a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fișelor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locație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dată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etc.) se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vor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transmite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după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înregistrarea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înscrierilor</w:t>
      </w:r>
      <w:proofErr w:type="spellEnd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pe </w:t>
      </w:r>
      <w:proofErr w:type="spellStart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adresa</w:t>
      </w:r>
      <w:proofErr w:type="spellEnd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e-mail </w:t>
      </w:r>
      <w:proofErr w:type="spellStart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folosită</w:t>
      </w:r>
      <w:proofErr w:type="spellEnd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la </w:t>
      </w:r>
      <w:proofErr w:type="spellStart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înscriere</w:t>
      </w:r>
      <w:proofErr w:type="spellEnd"/>
      <w:r w:rsidRPr="005C313A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. </w:t>
      </w:r>
    </w:p>
    <w:p w14:paraId="25A8A0D1" w14:textId="77777777" w:rsidR="00E903B7" w:rsidRDefault="00E903B7" w:rsidP="005C313A">
      <w:pPr>
        <w:spacing w:after="0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</w:p>
    <w:p w14:paraId="6254017E" w14:textId="5937D200" w:rsidR="0081274A" w:rsidRPr="007148B0" w:rsidRDefault="00E903B7" w:rsidP="007148B0">
      <w:pPr>
        <w:spacing w:line="240" w:lineRule="auto"/>
        <w:ind w:firstLine="720"/>
        <w:jc w:val="both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Vă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rugăm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atrageți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atenția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cadrelor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didactice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elevilor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parcurgă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regulamentele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705AC6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concursurilor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val="ro-RO" w:eastAsia="zh-CN" w:bidi="ar"/>
        </w:rPr>
        <w:t xml:space="preserve"> 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cu mare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atenție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astfel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încât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înscrierea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se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realizeze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baza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cunoașterii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condițiilor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participare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a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secțiunilor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la care se pot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încadra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.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Nerespectarea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termenelor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atrage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după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sine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invalidarea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înscrierii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la link-urile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menționate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în</w:t>
      </w:r>
      <w:proofErr w:type="spellEnd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="00CF229D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anexe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. </w:t>
      </w:r>
    </w:p>
    <w:p w14:paraId="263B4CE3" w14:textId="3F16474C" w:rsidR="0081274A" w:rsidRDefault="0081274A" w:rsidP="008D65C1">
      <w:pPr>
        <w:pStyle w:val="Default"/>
        <w:jc w:val="center"/>
        <w:rPr>
          <w:b/>
          <w:bCs/>
        </w:rPr>
      </w:pPr>
    </w:p>
    <w:p w14:paraId="54B9FEA2" w14:textId="7E6A6663" w:rsidR="00E4593A" w:rsidRDefault="00E4593A" w:rsidP="008D65C1">
      <w:pPr>
        <w:pStyle w:val="Default"/>
        <w:jc w:val="center"/>
        <w:rPr>
          <w:b/>
          <w:bCs/>
        </w:rPr>
      </w:pPr>
    </w:p>
    <w:p w14:paraId="52E6E67D" w14:textId="77777777" w:rsidR="00E4593A" w:rsidRDefault="00E4593A" w:rsidP="008D65C1">
      <w:pPr>
        <w:pStyle w:val="Default"/>
        <w:jc w:val="center"/>
        <w:rPr>
          <w:b/>
          <w:bCs/>
        </w:rPr>
      </w:pPr>
    </w:p>
    <w:p w14:paraId="5304C89C" w14:textId="36A163C4" w:rsidR="008D65C1" w:rsidRPr="00A253FF" w:rsidRDefault="008D65C1" w:rsidP="00A253FF">
      <w:pPr>
        <w:pStyle w:val="Default"/>
        <w:jc w:val="center"/>
        <w:rPr>
          <w:bCs/>
        </w:rPr>
      </w:pPr>
      <w:r w:rsidRPr="00A253FF">
        <w:rPr>
          <w:bCs/>
        </w:rPr>
        <w:t xml:space="preserve">Inspector </w:t>
      </w:r>
      <w:proofErr w:type="spellStart"/>
      <w:r w:rsidRPr="00A253FF">
        <w:rPr>
          <w:bCs/>
        </w:rPr>
        <w:t>şcolar</w:t>
      </w:r>
      <w:proofErr w:type="spellEnd"/>
      <w:r w:rsidRPr="00A253FF">
        <w:rPr>
          <w:bCs/>
        </w:rPr>
        <w:t xml:space="preserve"> general,</w:t>
      </w:r>
    </w:p>
    <w:p w14:paraId="3906BE91" w14:textId="7F25336E" w:rsidR="008D65C1" w:rsidRDefault="008D65C1" w:rsidP="00A253FF">
      <w:pPr>
        <w:pStyle w:val="Default"/>
        <w:jc w:val="center"/>
        <w:rPr>
          <w:bCs/>
        </w:rPr>
      </w:pPr>
      <w:r w:rsidRPr="00A253FF">
        <w:rPr>
          <w:bCs/>
        </w:rPr>
        <w:t xml:space="preserve">prof. </w:t>
      </w:r>
      <w:r w:rsidR="00A253FF" w:rsidRPr="00A253FF">
        <w:rPr>
          <w:bCs/>
        </w:rPr>
        <w:t xml:space="preserve">Ana-Maria EGARMIN </w:t>
      </w:r>
    </w:p>
    <w:p w14:paraId="513303FD" w14:textId="52775974" w:rsidR="00E4593A" w:rsidRDefault="00E4593A" w:rsidP="00A253FF">
      <w:pPr>
        <w:pStyle w:val="Default"/>
        <w:jc w:val="center"/>
        <w:rPr>
          <w:bCs/>
        </w:rPr>
      </w:pPr>
    </w:p>
    <w:p w14:paraId="47AF91BB" w14:textId="77777777" w:rsidR="00BD6191" w:rsidRPr="00A253FF" w:rsidRDefault="00BD6191" w:rsidP="00A253FF">
      <w:pPr>
        <w:pStyle w:val="Default"/>
        <w:jc w:val="center"/>
        <w:rPr>
          <w:bCs/>
        </w:rPr>
      </w:pPr>
      <w:bookmarkStart w:id="1" w:name="_GoBack"/>
      <w:bookmarkEnd w:id="1"/>
    </w:p>
    <w:p w14:paraId="75CF9E20" w14:textId="77777777" w:rsidR="008D65C1" w:rsidRPr="002E3B78" w:rsidRDefault="008D65C1" w:rsidP="001300A8">
      <w:pPr>
        <w:pStyle w:val="Default"/>
        <w:rPr>
          <w:b/>
          <w:bCs/>
        </w:rPr>
      </w:pPr>
    </w:p>
    <w:p w14:paraId="29BE818A" w14:textId="46B644DC" w:rsidR="001300A8" w:rsidRDefault="0053144E" w:rsidP="00A253FF">
      <w:pPr>
        <w:pStyle w:val="Default"/>
        <w:tabs>
          <w:tab w:val="right" w:pos="10065"/>
        </w:tabs>
        <w:rPr>
          <w:bCs/>
        </w:rPr>
      </w:pPr>
      <w:r>
        <w:rPr>
          <w:bCs/>
        </w:rPr>
        <w:t>Inspector școlar general adjunct,</w:t>
      </w:r>
    </w:p>
    <w:p w14:paraId="0CB8D7B5" w14:textId="75F093AB" w:rsidR="00DB55C3" w:rsidRPr="00385996" w:rsidRDefault="0053144E" w:rsidP="00A253FF">
      <w:pPr>
        <w:pStyle w:val="Default"/>
        <w:tabs>
          <w:tab w:val="right" w:pos="10065"/>
        </w:tabs>
        <w:rPr>
          <w:bCs/>
        </w:rPr>
      </w:pPr>
      <w:r>
        <w:rPr>
          <w:bCs/>
        </w:rPr>
        <w:t>Lavinia MISĂILĂ</w:t>
      </w:r>
      <w:r w:rsidR="00A253FF" w:rsidRPr="00385996">
        <w:rPr>
          <w:bCs/>
        </w:rPr>
        <w:tab/>
      </w:r>
      <w:r w:rsidR="002E3B78" w:rsidRPr="00385996">
        <w:rPr>
          <w:bCs/>
        </w:rPr>
        <w:t xml:space="preserve"> </w:t>
      </w:r>
    </w:p>
    <w:p w14:paraId="40CF2F1D" w14:textId="24CCB448" w:rsidR="00DB55C3" w:rsidRPr="00385996" w:rsidRDefault="00DB55C3" w:rsidP="00385996">
      <w:pPr>
        <w:pStyle w:val="Default"/>
        <w:jc w:val="right"/>
        <w:rPr>
          <w:bCs/>
        </w:rPr>
      </w:pPr>
      <w:r w:rsidRPr="00385996">
        <w:rPr>
          <w:bCs/>
        </w:rPr>
        <w:t>Inspector școlar</w:t>
      </w:r>
      <w:r w:rsidR="00F8408F">
        <w:rPr>
          <w:bCs/>
        </w:rPr>
        <w:t xml:space="preserve"> pentru activități </w:t>
      </w:r>
      <w:proofErr w:type="spellStart"/>
      <w:r w:rsidR="00F8408F">
        <w:rPr>
          <w:bCs/>
        </w:rPr>
        <w:t>extracurriculare</w:t>
      </w:r>
      <w:proofErr w:type="spellEnd"/>
      <w:r w:rsidRPr="00385996">
        <w:rPr>
          <w:bCs/>
        </w:rPr>
        <w:t>,</w:t>
      </w:r>
    </w:p>
    <w:p w14:paraId="5D7F8381" w14:textId="77777777" w:rsidR="00E4593A" w:rsidRDefault="00F8408F" w:rsidP="005B0F8D">
      <w:pPr>
        <w:pStyle w:val="Default"/>
        <w:jc w:val="center"/>
        <w:rPr>
          <w:bCs/>
        </w:rPr>
      </w:pPr>
      <w:r>
        <w:rPr>
          <w:bCs/>
        </w:rPr>
        <w:t xml:space="preserve">                                                                            </w:t>
      </w:r>
      <w:r w:rsidR="00385996" w:rsidRPr="00385996">
        <w:rPr>
          <w:bCs/>
        </w:rPr>
        <w:t>Prof. Carmen BUSUIOC</w:t>
      </w:r>
      <w:r w:rsidR="002E3B78" w:rsidRPr="00385996">
        <w:rPr>
          <w:bCs/>
        </w:rPr>
        <w:t xml:space="preserve">     </w:t>
      </w:r>
    </w:p>
    <w:p w14:paraId="0A63EF52" w14:textId="77777777" w:rsidR="00E4593A" w:rsidRDefault="00E4593A" w:rsidP="005B0F8D">
      <w:pPr>
        <w:pStyle w:val="Default"/>
        <w:jc w:val="center"/>
        <w:rPr>
          <w:bCs/>
        </w:rPr>
      </w:pPr>
    </w:p>
    <w:p w14:paraId="689A1E45" w14:textId="77777777" w:rsidR="00E4593A" w:rsidRDefault="00E4593A" w:rsidP="005B0F8D">
      <w:pPr>
        <w:pStyle w:val="Default"/>
        <w:jc w:val="center"/>
        <w:rPr>
          <w:bCs/>
        </w:rPr>
      </w:pPr>
    </w:p>
    <w:p w14:paraId="036889CB" w14:textId="15EA64CE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5C29FE83" w14:textId="5215D2F6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2A4B0C5F" w14:textId="1C266CA9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09234233" w14:textId="28AF57D9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69C9F7F2" w14:textId="0439F022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3DBE0D70" w14:textId="77777777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064BADC2" w14:textId="2055ADCA" w:rsid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11F8EEB6" w14:textId="77777777" w:rsidR="00E4593A" w:rsidRPr="00E4593A" w:rsidRDefault="00E4593A" w:rsidP="00E4593A">
      <w:p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</w:p>
    <w:p w14:paraId="7B883852" w14:textId="47041A0F" w:rsidR="00E4593A" w:rsidRPr="006A2575" w:rsidRDefault="00E4593A" w:rsidP="00E4593A">
      <w:pPr>
        <w:pStyle w:val="Listparagraf"/>
        <w:numPr>
          <w:ilvl w:val="0"/>
          <w:numId w:val="6"/>
        </w:num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6A2575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>pentru</w:t>
      </w:r>
      <w:proofErr w:type="spellEnd"/>
      <w:r w:rsidRPr="006A2575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a </w:t>
      </w:r>
      <w:proofErr w:type="spellStart"/>
      <w:r w:rsidRPr="006A2575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>participa</w:t>
      </w:r>
      <w:proofErr w:type="spellEnd"/>
      <w:r w:rsidRPr="006A2575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la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Festivalul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-concurs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național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folclor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„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Tradiție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creștină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-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oglindită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prin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datini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obiceiuri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”, se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poate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considera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etapă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calificare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participarea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,</w:t>
      </w:r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cu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obținerea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locurilor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I, II, III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,</w:t>
      </w:r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la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Simpozionul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- concurs de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creații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artistice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literare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„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Tradiții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obiceiuri</w:t>
      </w:r>
      <w:proofErr w:type="spellEnd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din Moldova” </w:t>
      </w:r>
      <w:proofErr w:type="spellStart"/>
      <w:r w:rsidRPr="006A2575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sau</w:t>
      </w:r>
      <w:proofErr w:type="spellEnd"/>
      <w:r w:rsidRPr="00C03D46">
        <w:t xml:space="preserve"> </w:t>
      </w:r>
      <w:r w:rsidRPr="006A2575">
        <w:rPr>
          <w:rFonts w:ascii="Times New Roman" w:hAnsi="Times New Roman"/>
          <w:sz w:val="24"/>
          <w:szCs w:val="24"/>
        </w:rPr>
        <w:t>la</w:t>
      </w:r>
      <w:r w:rsidRPr="00CA49E9">
        <w:t xml:space="preserve"> </w:t>
      </w:r>
      <w:proofErr w:type="spellStart"/>
      <w:r w:rsidRPr="006A2575">
        <w:rPr>
          <w:rFonts w:ascii="Times New Roman" w:hAnsi="Times New Roman"/>
          <w:sz w:val="24"/>
          <w:szCs w:val="24"/>
        </w:rPr>
        <w:t>Concursul</w:t>
      </w:r>
      <w:proofErr w:type="spellEnd"/>
      <w:r w:rsidRPr="006A2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575">
        <w:rPr>
          <w:rFonts w:ascii="Times New Roman" w:hAnsi="Times New Roman"/>
          <w:sz w:val="24"/>
          <w:szCs w:val="24"/>
        </w:rPr>
        <w:t>județean</w:t>
      </w:r>
      <w:proofErr w:type="spellEnd"/>
      <w:r w:rsidRPr="006A257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A2575">
        <w:rPr>
          <w:rFonts w:ascii="Times New Roman" w:hAnsi="Times New Roman"/>
          <w:sz w:val="24"/>
          <w:szCs w:val="24"/>
        </w:rPr>
        <w:t>creații</w:t>
      </w:r>
      <w:proofErr w:type="spellEnd"/>
      <w:r w:rsidRPr="006A25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2575">
        <w:rPr>
          <w:rFonts w:ascii="Times New Roman" w:hAnsi="Times New Roman"/>
          <w:sz w:val="24"/>
          <w:szCs w:val="24"/>
        </w:rPr>
        <w:t>plastice</w:t>
      </w:r>
      <w:proofErr w:type="spellEnd"/>
      <w:r w:rsidRPr="006A2575">
        <w:rPr>
          <w:rFonts w:ascii="Times New Roman" w:hAnsi="Times New Roman"/>
          <w:sz w:val="24"/>
          <w:szCs w:val="24"/>
        </w:rPr>
        <w:t xml:space="preserve"> „Vis de </w:t>
      </w:r>
      <w:proofErr w:type="spellStart"/>
      <w:r w:rsidRPr="006A2575">
        <w:rPr>
          <w:rFonts w:ascii="Times New Roman" w:hAnsi="Times New Roman"/>
          <w:sz w:val="24"/>
          <w:szCs w:val="24"/>
        </w:rPr>
        <w:t>copil</w:t>
      </w:r>
      <w:proofErr w:type="spellEnd"/>
      <w:r w:rsidRPr="006A2575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etc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secțiunile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concursurilor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asemănătoare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coincid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E59A46" w14:textId="77777777" w:rsidR="00E4593A" w:rsidRPr="0064262A" w:rsidRDefault="00E4593A" w:rsidP="00E4593A">
      <w:pPr>
        <w:pStyle w:val="Listparagraf"/>
        <w:numPr>
          <w:ilvl w:val="0"/>
          <w:numId w:val="6"/>
        </w:num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175821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>pentru</w:t>
      </w:r>
      <w:proofErr w:type="spellEnd"/>
      <w:r w:rsidRPr="00175821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a </w:t>
      </w:r>
      <w:proofErr w:type="spellStart"/>
      <w:r w:rsidRPr="00175821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>participa</w:t>
      </w:r>
      <w:proofErr w:type="spellEnd"/>
      <w:r w:rsidRPr="00175821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la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Festivalul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-concurs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internațional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gimnastică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dans „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Prietenia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”, se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poate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considera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etapă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calificare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participarea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, cu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obținerea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locului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I la </w:t>
      </w:r>
      <w:proofErr w:type="spellStart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Festival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ul</w:t>
      </w:r>
      <w:proofErr w:type="spellEnd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-concurs </w:t>
      </w:r>
      <w:proofErr w:type="spellStart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județean</w:t>
      </w:r>
      <w:proofErr w:type="spellEnd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de dans „</w:t>
      </w:r>
      <w:proofErr w:type="spellStart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Steluțele</w:t>
      </w:r>
      <w:proofErr w:type="spellEnd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dansului</w:t>
      </w:r>
      <w:proofErr w:type="spellEnd"/>
      <w:r w:rsidRPr="00086C42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”</w:t>
      </w:r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etc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>,</w:t>
      </w:r>
      <w:r w:rsidRPr="0094215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secțiunile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concursurilor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asemănătoare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coincid</w:t>
      </w:r>
      <w:proofErr w:type="spellEnd"/>
      <w:r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t xml:space="preserve"> ;</w:t>
      </w:r>
    </w:p>
    <w:p w14:paraId="0A5C4C45" w14:textId="77777777" w:rsidR="00E4593A" w:rsidRPr="006A2575" w:rsidRDefault="00E4593A" w:rsidP="00E4593A">
      <w:pPr>
        <w:pStyle w:val="Listparagraf"/>
        <w:numPr>
          <w:ilvl w:val="0"/>
          <w:numId w:val="6"/>
        </w:numPr>
        <w:spacing w:after="160" w:line="240" w:lineRule="auto"/>
        <w:jc w:val="both"/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</w:pPr>
      <w:proofErr w:type="spellStart"/>
      <w:r w:rsidRPr="006B47A4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>pentru</w:t>
      </w:r>
      <w:proofErr w:type="spellEnd"/>
      <w:r w:rsidRPr="006B47A4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a </w:t>
      </w:r>
      <w:proofErr w:type="spellStart"/>
      <w:r w:rsidRPr="006B47A4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>participa</w:t>
      </w:r>
      <w:proofErr w:type="spellEnd"/>
      <w:r w:rsidRPr="006B47A4">
        <w:rPr>
          <w:rFonts w:ascii="Times New Roman" w:eastAsia="SimSun" w:hAnsi="Times New Roman"/>
          <w:iCs/>
          <w:color w:val="000000"/>
          <w:sz w:val="24"/>
          <w:szCs w:val="24"/>
          <w:lang w:eastAsia="zh-CN" w:bidi="ar"/>
        </w:rPr>
        <w:t xml:space="preserve"> la</w:t>
      </w:r>
      <w:r>
        <w:rPr>
          <w:rFonts w:ascii="Times New Roman" w:eastAsia="SimSun" w:hAnsi="Times New Roman"/>
          <w:i/>
          <w:iCs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Concursul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național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protecție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a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mediului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„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gestul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tău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contează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”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sau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la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Concursul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național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ecologie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și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protecția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mediului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„Un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copil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sănătos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într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-un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mediu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curat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” se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poate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considera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etapă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calificare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participarea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, cu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obținerea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locului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I la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Concurs</w:t>
      </w:r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ul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județean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creații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artistice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„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Bucuria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unui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copil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”</w:t>
      </w:r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sau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la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Concurs</w:t>
      </w:r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ul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județean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creații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literare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și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plastice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„Natura, un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prieten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în</w:t>
      </w:r>
      <w:proofErr w:type="spellEnd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F058C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suferință”</w:t>
      </w:r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sau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la </w:t>
      </w:r>
      <w:proofErr w:type="spellStart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Concurs</w:t>
      </w:r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ul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județean</w:t>
      </w:r>
      <w:proofErr w:type="spellEnd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creații</w:t>
      </w:r>
      <w:proofErr w:type="spellEnd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artistice</w:t>
      </w:r>
      <w:proofErr w:type="spellEnd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„Arta </w:t>
      </w:r>
      <w:proofErr w:type="spellStart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prin</w:t>
      </w:r>
      <w:proofErr w:type="spellEnd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ochi</w:t>
      </w:r>
      <w:proofErr w:type="spellEnd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 de </w:t>
      </w:r>
      <w:proofErr w:type="spellStart"/>
      <w:r w:rsidRPr="00D17067"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copii”</w:t>
      </w:r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etc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secțiunile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concursurilor</w:t>
      </w:r>
      <w:proofErr w:type="spellEnd"/>
      <w:r>
        <w:rPr>
          <w:rFonts w:ascii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/>
          <w:sz w:val="24"/>
          <w:szCs w:val="24"/>
        </w:rPr>
        <w:t>asemănătoare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coincid</w:t>
      </w:r>
      <w:proofErr w:type="spellEnd"/>
      <w:r>
        <w:rPr>
          <w:rFonts w:ascii="Times New Roman" w:eastAsia="Arial Narrow" w:hAnsi="Times New Roman"/>
          <w:color w:val="000000"/>
          <w:sz w:val="24"/>
          <w:szCs w:val="24"/>
          <w:lang w:eastAsia="zh-CN" w:bidi="ar"/>
        </w:rPr>
        <w:t>.</w:t>
      </w:r>
    </w:p>
    <w:p w14:paraId="36989A8E" w14:textId="36E0C95F" w:rsidR="00F3347D" w:rsidRPr="005B0F8D" w:rsidRDefault="002E3B78" w:rsidP="005B0F8D">
      <w:pPr>
        <w:pStyle w:val="Default"/>
        <w:jc w:val="center"/>
        <w:rPr>
          <w:bCs/>
        </w:rPr>
      </w:pPr>
      <w:r w:rsidRPr="00385996">
        <w:rPr>
          <w:bCs/>
        </w:rPr>
        <w:t xml:space="preserve">                                                           </w:t>
      </w:r>
      <w:bookmarkEnd w:id="0"/>
    </w:p>
    <w:sectPr w:rsidR="00F3347D" w:rsidRPr="005B0F8D" w:rsidSect="00377F8B">
      <w:headerReference w:type="default" r:id="rId8"/>
      <w:footerReference w:type="default" r:id="rId9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0634" w14:textId="77777777" w:rsidR="00F576F9" w:rsidRDefault="00F576F9" w:rsidP="008D65C1">
      <w:pPr>
        <w:spacing w:after="0" w:line="240" w:lineRule="auto"/>
      </w:pPr>
      <w:r>
        <w:separator/>
      </w:r>
    </w:p>
  </w:endnote>
  <w:endnote w:type="continuationSeparator" w:id="0">
    <w:p w14:paraId="3CFBECD7" w14:textId="77777777" w:rsidR="00F576F9" w:rsidRDefault="00F576F9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3E42D9" w:rsidRDefault="00F500C3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9BCC10F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F576F9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F576F9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F576F9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F576F9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1483B" w14:textId="77777777" w:rsidR="00F576F9" w:rsidRDefault="00F576F9" w:rsidP="008D65C1">
      <w:pPr>
        <w:spacing w:after="0" w:line="240" w:lineRule="auto"/>
      </w:pPr>
      <w:r>
        <w:separator/>
      </w:r>
    </w:p>
  </w:footnote>
  <w:footnote w:type="continuationSeparator" w:id="0">
    <w:p w14:paraId="2D91E3BB" w14:textId="77777777" w:rsidR="00F576F9" w:rsidRDefault="00F576F9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3FF97D91" w:rsidR="003E42D9" w:rsidRPr="00AB5EC3" w:rsidRDefault="000A50B1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1312" behindDoc="1" locked="0" layoutInCell="1" allowOverlap="1" wp14:anchorId="22F50F1F" wp14:editId="4C1E1369">
          <wp:simplePos x="0" y="0"/>
          <wp:positionH relativeFrom="margin">
            <wp:posOffset>2923540</wp:posOffset>
          </wp:positionH>
          <wp:positionV relativeFrom="paragraph">
            <wp:posOffset>5080</wp:posOffset>
          </wp:positionV>
          <wp:extent cx="3703955" cy="8001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9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274A"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CA29916">
          <wp:simplePos x="0" y="0"/>
          <wp:positionH relativeFrom="column">
            <wp:posOffset>-340995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5544B6C4" w:rsidR="003E42D9" w:rsidRDefault="00F500C3" w:rsidP="00706B77">
    <w:pPr>
      <w:pStyle w:val="Antet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56C81"/>
    <w:multiLevelType w:val="singleLevel"/>
    <w:tmpl w:val="11156C81"/>
    <w:lvl w:ilvl="0">
      <w:start w:val="1"/>
      <w:numFmt w:val="decimal"/>
      <w:suff w:val="space"/>
      <w:lvlText w:val="%1."/>
      <w:lvlJc w:val="left"/>
      <w:pPr>
        <w:ind w:left="420" w:firstLine="0"/>
      </w:pPr>
      <w:rPr>
        <w:b/>
        <w:bCs/>
      </w:rPr>
    </w:lvl>
  </w:abstractNum>
  <w:abstractNum w:abstractNumId="1" w15:restartNumberingAfterBreak="0">
    <w:nsid w:val="11E658DC"/>
    <w:multiLevelType w:val="hybridMultilevel"/>
    <w:tmpl w:val="6F6CF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4526E"/>
    <w:multiLevelType w:val="hybridMultilevel"/>
    <w:tmpl w:val="0FAA56F2"/>
    <w:lvl w:ilvl="0" w:tplc="5CFC83BA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6E0633"/>
    <w:multiLevelType w:val="hybridMultilevel"/>
    <w:tmpl w:val="0A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8FACD"/>
    <w:multiLevelType w:val="singleLevel"/>
    <w:tmpl w:val="6428FACD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A453050"/>
    <w:multiLevelType w:val="hybridMultilevel"/>
    <w:tmpl w:val="6F6CFC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115E4"/>
    <w:rsid w:val="00074F11"/>
    <w:rsid w:val="00086C42"/>
    <w:rsid w:val="000A50B1"/>
    <w:rsid w:val="000B18FC"/>
    <w:rsid w:val="000D703E"/>
    <w:rsid w:val="0011323D"/>
    <w:rsid w:val="001300A8"/>
    <w:rsid w:val="00144029"/>
    <w:rsid w:val="00151862"/>
    <w:rsid w:val="00175821"/>
    <w:rsid w:val="00182659"/>
    <w:rsid w:val="00184F82"/>
    <w:rsid w:val="001B479D"/>
    <w:rsid w:val="001B6B53"/>
    <w:rsid w:val="001C7301"/>
    <w:rsid w:val="001D27E4"/>
    <w:rsid w:val="001F7995"/>
    <w:rsid w:val="002145A1"/>
    <w:rsid w:val="002336F2"/>
    <w:rsid w:val="002B36E1"/>
    <w:rsid w:val="002C1C93"/>
    <w:rsid w:val="002E3B78"/>
    <w:rsid w:val="00302DC7"/>
    <w:rsid w:val="0030388D"/>
    <w:rsid w:val="00305B03"/>
    <w:rsid w:val="00306A39"/>
    <w:rsid w:val="00307676"/>
    <w:rsid w:val="003142D6"/>
    <w:rsid w:val="003400EE"/>
    <w:rsid w:val="00350D32"/>
    <w:rsid w:val="003604B6"/>
    <w:rsid w:val="00361684"/>
    <w:rsid w:val="003677AF"/>
    <w:rsid w:val="00385996"/>
    <w:rsid w:val="00392EE2"/>
    <w:rsid w:val="003A0687"/>
    <w:rsid w:val="003B3AF1"/>
    <w:rsid w:val="003C733A"/>
    <w:rsid w:val="0041225F"/>
    <w:rsid w:val="00417CCB"/>
    <w:rsid w:val="004210F8"/>
    <w:rsid w:val="004269C0"/>
    <w:rsid w:val="00464BF8"/>
    <w:rsid w:val="004D76F3"/>
    <w:rsid w:val="00525929"/>
    <w:rsid w:val="00530E68"/>
    <w:rsid w:val="0053144E"/>
    <w:rsid w:val="005438C1"/>
    <w:rsid w:val="00591410"/>
    <w:rsid w:val="005B0F8D"/>
    <w:rsid w:val="005C1BF9"/>
    <w:rsid w:val="005C313A"/>
    <w:rsid w:val="005C4125"/>
    <w:rsid w:val="005D4615"/>
    <w:rsid w:val="006025C2"/>
    <w:rsid w:val="00610112"/>
    <w:rsid w:val="00620227"/>
    <w:rsid w:val="0063196A"/>
    <w:rsid w:val="0064262A"/>
    <w:rsid w:val="00652F85"/>
    <w:rsid w:val="006A2575"/>
    <w:rsid w:val="006A47F6"/>
    <w:rsid w:val="006B47A4"/>
    <w:rsid w:val="006C10B7"/>
    <w:rsid w:val="006D65F9"/>
    <w:rsid w:val="006F1D39"/>
    <w:rsid w:val="00705AC6"/>
    <w:rsid w:val="00706B77"/>
    <w:rsid w:val="007148B0"/>
    <w:rsid w:val="00720DFF"/>
    <w:rsid w:val="00724473"/>
    <w:rsid w:val="00725E10"/>
    <w:rsid w:val="00733956"/>
    <w:rsid w:val="00733B72"/>
    <w:rsid w:val="007573A1"/>
    <w:rsid w:val="00765AEC"/>
    <w:rsid w:val="00794D1C"/>
    <w:rsid w:val="00795AA4"/>
    <w:rsid w:val="0081274A"/>
    <w:rsid w:val="00821232"/>
    <w:rsid w:val="0083185B"/>
    <w:rsid w:val="00844BAC"/>
    <w:rsid w:val="008B52C7"/>
    <w:rsid w:val="008D65C1"/>
    <w:rsid w:val="008F0554"/>
    <w:rsid w:val="009038FE"/>
    <w:rsid w:val="009339D0"/>
    <w:rsid w:val="00942154"/>
    <w:rsid w:val="009F5EBD"/>
    <w:rsid w:val="00A00E41"/>
    <w:rsid w:val="00A0212F"/>
    <w:rsid w:val="00A253FF"/>
    <w:rsid w:val="00A6418E"/>
    <w:rsid w:val="00AA7DF2"/>
    <w:rsid w:val="00AB0CA1"/>
    <w:rsid w:val="00AE75DD"/>
    <w:rsid w:val="00AE7A0D"/>
    <w:rsid w:val="00B42C0F"/>
    <w:rsid w:val="00BB10DA"/>
    <w:rsid w:val="00BC7EDC"/>
    <w:rsid w:val="00BD6191"/>
    <w:rsid w:val="00BD6518"/>
    <w:rsid w:val="00C03D46"/>
    <w:rsid w:val="00C36A2B"/>
    <w:rsid w:val="00C42CFE"/>
    <w:rsid w:val="00C91C0B"/>
    <w:rsid w:val="00C95A83"/>
    <w:rsid w:val="00CA49E9"/>
    <w:rsid w:val="00CA4D9E"/>
    <w:rsid w:val="00CB07CC"/>
    <w:rsid w:val="00CB3EE7"/>
    <w:rsid w:val="00CD45C7"/>
    <w:rsid w:val="00CE11AA"/>
    <w:rsid w:val="00CF229D"/>
    <w:rsid w:val="00D17067"/>
    <w:rsid w:val="00D21B36"/>
    <w:rsid w:val="00D346E8"/>
    <w:rsid w:val="00D377EE"/>
    <w:rsid w:val="00D379EE"/>
    <w:rsid w:val="00D45AE3"/>
    <w:rsid w:val="00D55268"/>
    <w:rsid w:val="00D92AA6"/>
    <w:rsid w:val="00DB55C3"/>
    <w:rsid w:val="00DD355C"/>
    <w:rsid w:val="00DE503E"/>
    <w:rsid w:val="00DE6E92"/>
    <w:rsid w:val="00E1067E"/>
    <w:rsid w:val="00E4593A"/>
    <w:rsid w:val="00E63997"/>
    <w:rsid w:val="00E82FA1"/>
    <w:rsid w:val="00E903B7"/>
    <w:rsid w:val="00ED4BE4"/>
    <w:rsid w:val="00EF1F0F"/>
    <w:rsid w:val="00F049F4"/>
    <w:rsid w:val="00F058C7"/>
    <w:rsid w:val="00F13D9D"/>
    <w:rsid w:val="00F14F6B"/>
    <w:rsid w:val="00F17067"/>
    <w:rsid w:val="00F17932"/>
    <w:rsid w:val="00F3347D"/>
    <w:rsid w:val="00F36C08"/>
    <w:rsid w:val="00F500C3"/>
    <w:rsid w:val="00F52447"/>
    <w:rsid w:val="00F576F9"/>
    <w:rsid w:val="00F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chartTrackingRefBased/>
  <w15:docId w15:val="{837A8F89-D9C7-4770-8CC6-0673731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D65C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DE503E"/>
    <w:pPr>
      <w:ind w:left="720"/>
      <w:contextualSpacing/>
    </w:pPr>
  </w:style>
  <w:style w:type="paragraph" w:styleId="Frspaiere">
    <w:name w:val="No Spacing"/>
    <w:link w:val="FrspaiereCaracter"/>
    <w:qFormat/>
    <w:rsid w:val="00E903B7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rspaiereCaracter">
    <w:name w:val="Fără spațiere Caracter"/>
    <w:link w:val="Frspaiere"/>
    <w:locked/>
    <w:rsid w:val="00074F11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du.ro/sites/default/files/_fi%C8%99iere/Legislatie/2025/OMEC_3026_2025/OMEC_3026_20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User</cp:lastModifiedBy>
  <cp:revision>8</cp:revision>
  <cp:lastPrinted>2025-01-16T11:20:00Z</cp:lastPrinted>
  <dcterms:created xsi:type="dcterms:W3CDTF">2025-01-30T14:15:00Z</dcterms:created>
  <dcterms:modified xsi:type="dcterms:W3CDTF">2025-02-06T13:10:00Z</dcterms:modified>
</cp:coreProperties>
</file>