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2A2" w:rsidRPr="00A932A2" w:rsidRDefault="00A932A2" w:rsidP="00A932A2">
      <w:pPr>
        <w:spacing w:after="0" w:line="240" w:lineRule="auto"/>
        <w:jc w:val="center"/>
        <w:rPr>
          <w:rFonts w:ascii="Arial" w:hAnsi="Arial" w:cs="Arial"/>
          <w:b/>
          <w:color w:val="000000"/>
          <w:sz w:val="22"/>
        </w:rPr>
      </w:pPr>
      <w:r w:rsidRPr="00A932A2">
        <w:rPr>
          <w:rFonts w:ascii="Arial" w:hAnsi="Arial" w:cs="Arial"/>
          <w:b/>
          <w:color w:val="000000"/>
          <w:sz w:val="22"/>
        </w:rPr>
        <w:t xml:space="preserve">ORDINUL MINISTRULUI EDUCAȚIEI ȘI CERCETĂRII NR. </w:t>
      </w:r>
      <w:r w:rsidR="00421542" w:rsidRPr="00A932A2">
        <w:rPr>
          <w:rFonts w:ascii="Arial" w:hAnsi="Arial" w:cs="Arial"/>
          <w:b/>
          <w:color w:val="000000"/>
          <w:sz w:val="22"/>
        </w:rPr>
        <w:t xml:space="preserve">4321/2020 </w:t>
      </w:r>
    </w:p>
    <w:p w:rsidR="007202B3" w:rsidRPr="00A932A2" w:rsidRDefault="00421542" w:rsidP="00A932A2">
      <w:pPr>
        <w:spacing w:after="0" w:line="240" w:lineRule="auto"/>
        <w:jc w:val="center"/>
        <w:rPr>
          <w:rFonts w:ascii="Arial" w:hAnsi="Arial" w:cs="Arial"/>
          <w:sz w:val="22"/>
        </w:rPr>
      </w:pPr>
      <w:r w:rsidRPr="00A932A2">
        <w:rPr>
          <w:rFonts w:ascii="Arial" w:hAnsi="Arial" w:cs="Arial"/>
          <w:b/>
          <w:color w:val="000000"/>
          <w:sz w:val="22"/>
        </w:rPr>
        <w:t xml:space="preserve">privind modificarea şi completarea Metodologiei </w:t>
      </w:r>
      <w:r w:rsidRPr="00A932A2">
        <w:rPr>
          <w:rFonts w:ascii="Arial" w:hAnsi="Arial" w:cs="Arial"/>
          <w:b/>
          <w:color w:val="000000"/>
          <w:sz w:val="22"/>
        </w:rPr>
        <w:t>de organizare şi desfăşurare a examenului de certificare a calificării profesionale pentru absolvenţii învăţământului profesional cu durata de 3 ani, aprobată prin Ordinul ministrului educaţiei naţionale nr. 4.435/2014, pentru anul şcolar 2019-2020</w:t>
      </w:r>
    </w:p>
    <w:p w:rsidR="007202B3" w:rsidRPr="00A932A2" w:rsidRDefault="007202B3" w:rsidP="00A932A2">
      <w:pPr>
        <w:spacing w:after="0" w:line="240" w:lineRule="auto"/>
        <w:jc w:val="center"/>
        <w:rPr>
          <w:rFonts w:ascii="Arial" w:hAnsi="Arial" w:cs="Arial"/>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Având în vedere:</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xml:space="preserve">- Hotărârea Guvernului nr. </w:t>
      </w:r>
      <w:r w:rsidRPr="00A932A2">
        <w:rPr>
          <w:rFonts w:ascii="Arial" w:hAnsi="Arial" w:cs="Arial"/>
          <w:color w:val="1B1B1B"/>
          <w:sz w:val="22"/>
        </w:rPr>
        <w:t>394/2020</w:t>
      </w:r>
      <w:r w:rsidRPr="00A932A2">
        <w:rPr>
          <w:rFonts w:ascii="Arial" w:hAnsi="Arial" w:cs="Arial"/>
          <w:color w:val="000000"/>
          <w:sz w:val="22"/>
        </w:rPr>
        <w:t xml:space="preserve"> privind declararea stării de alertă şi măsurile care se aplică pe durata acesteia pentru prevenirea şi combaterea efectelor pandemiei de COVID-</w:t>
      </w:r>
      <w:r w:rsidRPr="00A932A2">
        <w:rPr>
          <w:rFonts w:ascii="Arial" w:hAnsi="Arial" w:cs="Arial"/>
          <w:color w:val="000000"/>
          <w:sz w:val="22"/>
        </w:rPr>
        <w:t xml:space="preserve">19, aprobată cu modificări şi completări prin Hotărârea Parlamentului României nr. </w:t>
      </w:r>
      <w:r w:rsidRPr="00A932A2">
        <w:rPr>
          <w:rFonts w:ascii="Arial" w:hAnsi="Arial" w:cs="Arial"/>
          <w:color w:val="1B1B1B"/>
          <w:sz w:val="22"/>
        </w:rPr>
        <w:t>5/2020</w:t>
      </w:r>
      <w:r w:rsidRPr="00A932A2">
        <w:rPr>
          <w:rFonts w:ascii="Arial" w:hAnsi="Arial" w:cs="Arial"/>
          <w:color w:val="000000"/>
          <w:sz w:val="22"/>
        </w:rPr>
        <w:t>;</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xml:space="preserve">- Ordinul ministrului educaţiei şi cercetării şi al ministrului sănătăţii nr. </w:t>
      </w:r>
      <w:r w:rsidRPr="00A932A2">
        <w:rPr>
          <w:rFonts w:ascii="Arial" w:hAnsi="Arial" w:cs="Arial"/>
          <w:color w:val="1B1B1B"/>
          <w:sz w:val="22"/>
        </w:rPr>
        <w:t>4.267</w:t>
      </w:r>
      <w:r w:rsidRPr="00A932A2">
        <w:rPr>
          <w:rFonts w:ascii="Arial" w:hAnsi="Arial" w:cs="Arial"/>
          <w:color w:val="000000"/>
          <w:sz w:val="22"/>
        </w:rPr>
        <w:t>/</w:t>
      </w:r>
      <w:r w:rsidRPr="00A932A2">
        <w:rPr>
          <w:rFonts w:ascii="Arial" w:hAnsi="Arial" w:cs="Arial"/>
          <w:color w:val="1B1B1B"/>
          <w:sz w:val="22"/>
        </w:rPr>
        <w:t>841/2020</w:t>
      </w:r>
      <w:r w:rsidRPr="00A932A2">
        <w:rPr>
          <w:rFonts w:ascii="Arial" w:hAnsi="Arial" w:cs="Arial"/>
          <w:color w:val="000000"/>
          <w:sz w:val="22"/>
        </w:rPr>
        <w:t xml:space="preserve"> pentru stabilirea unor măsuri de prevenire şi combatere a îmbolnăvirilor</w:t>
      </w:r>
      <w:r w:rsidRPr="00A932A2">
        <w:rPr>
          <w:rFonts w:ascii="Arial" w:hAnsi="Arial" w:cs="Arial"/>
          <w:color w:val="000000"/>
          <w:sz w:val="22"/>
        </w:rPr>
        <w:t xml:space="preserve"> cu SARS-CoV-2 în unităţile/instituţiile de învăţământ, instituţiile publice şi toate structurile aflate în subordonarea sau coordonarea Ministerului Educaţiei şi Cercetării;</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xml:space="preserve">- prevederile art. 1 din Hotărârea Comitetului naţional pentru Situaţii Speciale </w:t>
      </w:r>
      <w:r w:rsidRPr="00A932A2">
        <w:rPr>
          <w:rFonts w:ascii="Arial" w:hAnsi="Arial" w:cs="Arial"/>
          <w:color w:val="000000"/>
          <w:sz w:val="22"/>
        </w:rPr>
        <w:t xml:space="preserve">de Urgenţă nr. </w:t>
      </w:r>
      <w:r w:rsidRPr="00A932A2">
        <w:rPr>
          <w:rFonts w:ascii="Arial" w:hAnsi="Arial" w:cs="Arial"/>
          <w:color w:val="1B1B1B"/>
          <w:sz w:val="22"/>
        </w:rPr>
        <w:t>6/2020</w:t>
      </w:r>
      <w:r w:rsidRPr="00A932A2">
        <w:rPr>
          <w:rFonts w:ascii="Arial" w:hAnsi="Arial" w:cs="Arial"/>
          <w:color w:val="000000"/>
          <w:sz w:val="22"/>
        </w:rPr>
        <w:t>;</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măsurile cu privire la reluarea activităţii în sistemul de educaţie după încetarea stării de urgenţă nr. 545/DGIP din 28.04.2020;</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xml:space="preserve">- În temeiul prevederilor art. 6 lit. d) şi art. 15 alin. (3) din Hotărârea Guvernului nr. </w:t>
      </w:r>
      <w:r w:rsidRPr="00A932A2">
        <w:rPr>
          <w:rFonts w:ascii="Arial" w:hAnsi="Arial" w:cs="Arial"/>
          <w:color w:val="1B1B1B"/>
          <w:sz w:val="22"/>
        </w:rPr>
        <w:t>24/2020</w:t>
      </w:r>
      <w:r w:rsidRPr="00A932A2">
        <w:rPr>
          <w:rFonts w:ascii="Arial" w:hAnsi="Arial" w:cs="Arial"/>
          <w:color w:val="000000"/>
          <w:sz w:val="22"/>
        </w:rPr>
        <w:t xml:space="preserve"> pr</w:t>
      </w:r>
      <w:r w:rsidRPr="00A932A2">
        <w:rPr>
          <w:rFonts w:ascii="Arial" w:hAnsi="Arial" w:cs="Arial"/>
          <w:color w:val="000000"/>
          <w:sz w:val="22"/>
        </w:rPr>
        <w:t xml:space="preserve">ivind organizarea şi funcţionarea Ministerului Educaţiei şi Cercetării şi a prevederilor Legii nr. </w:t>
      </w:r>
      <w:r w:rsidRPr="00A932A2">
        <w:rPr>
          <w:rFonts w:ascii="Arial" w:hAnsi="Arial" w:cs="Arial"/>
          <w:color w:val="1B1B1B"/>
          <w:sz w:val="22"/>
        </w:rPr>
        <w:t>190/2018</w:t>
      </w:r>
      <w:r w:rsidRPr="00A932A2">
        <w:rPr>
          <w:rFonts w:ascii="Arial" w:hAnsi="Arial" w:cs="Arial"/>
          <w:color w:val="000000"/>
          <w:sz w:val="22"/>
        </w:rPr>
        <w:t xml:space="preserve"> privind măsuri de punere în aplicare a Regulamentului (UE) </w:t>
      </w:r>
      <w:r w:rsidRPr="00A932A2">
        <w:rPr>
          <w:rFonts w:ascii="Arial" w:hAnsi="Arial" w:cs="Arial"/>
          <w:color w:val="1B1B1B"/>
          <w:sz w:val="22"/>
        </w:rPr>
        <w:t>2016/679</w:t>
      </w:r>
      <w:r w:rsidRPr="00A932A2">
        <w:rPr>
          <w:rFonts w:ascii="Arial" w:hAnsi="Arial" w:cs="Arial"/>
          <w:color w:val="000000"/>
          <w:sz w:val="22"/>
        </w:rPr>
        <w:t xml:space="preserve"> al Parlamentului European şi al Consiliului din 27 aprilie 2016 privind protecţi</w:t>
      </w:r>
      <w:r w:rsidRPr="00A932A2">
        <w:rPr>
          <w:rFonts w:ascii="Arial" w:hAnsi="Arial" w:cs="Arial"/>
          <w:color w:val="000000"/>
          <w:sz w:val="22"/>
        </w:rPr>
        <w:t xml:space="preserve">a persoanelor fizice în ceea ce priveşte prelucrarea datelor cu caracter personal şi privind libera circulaţie a acestor date şi de abrogare a Directivei </w:t>
      </w:r>
      <w:r w:rsidRPr="00A932A2">
        <w:rPr>
          <w:rFonts w:ascii="Arial" w:hAnsi="Arial" w:cs="Arial"/>
          <w:color w:val="1B1B1B"/>
          <w:sz w:val="22"/>
        </w:rPr>
        <w:t>95/46/CE</w:t>
      </w:r>
      <w:r w:rsidRPr="00A932A2">
        <w:rPr>
          <w:rFonts w:ascii="Arial" w:hAnsi="Arial" w:cs="Arial"/>
          <w:color w:val="000000"/>
          <w:sz w:val="22"/>
        </w:rPr>
        <w:t xml:space="preserve"> (Regulamentul general privind protecţia datelor), cu modificările ulterioare,</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b/>
          <w:color w:val="000000"/>
          <w:sz w:val="22"/>
        </w:rPr>
        <w:t>ministrul educa</w:t>
      </w:r>
      <w:r w:rsidRPr="00A932A2">
        <w:rPr>
          <w:rFonts w:ascii="Arial" w:hAnsi="Arial" w:cs="Arial"/>
          <w:b/>
          <w:color w:val="000000"/>
          <w:sz w:val="22"/>
        </w:rPr>
        <w:t>ţiei şi cercetării</w:t>
      </w:r>
      <w:r w:rsidRPr="00A932A2">
        <w:rPr>
          <w:rFonts w:ascii="Arial" w:hAnsi="Arial" w:cs="Arial"/>
          <w:color w:val="000000"/>
          <w:sz w:val="22"/>
        </w:rPr>
        <w:t xml:space="preserve"> emite prezentul ordin.</w:t>
      </w:r>
    </w:p>
    <w:p w:rsidR="00A932A2" w:rsidRDefault="00A932A2" w:rsidP="00A932A2">
      <w:pPr>
        <w:spacing w:after="0" w:line="240" w:lineRule="auto"/>
        <w:jc w:val="both"/>
        <w:rPr>
          <w:rFonts w:ascii="Arial" w:hAnsi="Arial" w:cs="Arial"/>
          <w:b/>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b/>
          <w:color w:val="000000"/>
          <w:sz w:val="22"/>
        </w:rPr>
        <w:t>Art. I</w:t>
      </w:r>
      <w:r w:rsidR="00A932A2">
        <w:rPr>
          <w:rFonts w:ascii="Arial" w:hAnsi="Arial" w:cs="Arial"/>
          <w:b/>
          <w:color w:val="000000"/>
          <w:sz w:val="22"/>
        </w:rPr>
        <w:t xml:space="preserve">. </w:t>
      </w:r>
      <w:r w:rsidRPr="00A932A2">
        <w:rPr>
          <w:rFonts w:ascii="Arial" w:hAnsi="Arial" w:cs="Arial"/>
          <w:color w:val="1B1B1B"/>
          <w:sz w:val="22"/>
        </w:rPr>
        <w:t>Metodologia de organizare şi desfăşurare a examenului de certificare a calificării profesionale pentru absolvenţii învăţământului profesional cu durata de 3 ani</w:t>
      </w:r>
      <w:r w:rsidRPr="00A932A2">
        <w:rPr>
          <w:rFonts w:ascii="Arial" w:hAnsi="Arial" w:cs="Arial"/>
          <w:color w:val="000000"/>
          <w:sz w:val="22"/>
        </w:rPr>
        <w:t>, aprobată prin Ordinul ministrului educaţiei n</w:t>
      </w:r>
      <w:r w:rsidRPr="00A932A2">
        <w:rPr>
          <w:rFonts w:ascii="Arial" w:hAnsi="Arial" w:cs="Arial"/>
          <w:color w:val="000000"/>
          <w:sz w:val="22"/>
        </w:rPr>
        <w:t xml:space="preserve">aţionale nr. </w:t>
      </w:r>
      <w:r w:rsidRPr="00A932A2">
        <w:rPr>
          <w:rFonts w:ascii="Arial" w:hAnsi="Arial" w:cs="Arial"/>
          <w:color w:val="1B1B1B"/>
          <w:sz w:val="22"/>
        </w:rPr>
        <w:t>4.435/2014</w:t>
      </w:r>
      <w:r w:rsidRPr="00A932A2">
        <w:rPr>
          <w:rFonts w:ascii="Arial" w:hAnsi="Arial" w:cs="Arial"/>
          <w:color w:val="000000"/>
          <w:sz w:val="22"/>
        </w:rPr>
        <w:t>, publicat în Monitorul Oficial al României, Partea I, nr. 764 din 21 octombrie 2014, pentru anul şcolar 2019-2020 se modifică şi se completează după cum urmează:</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1.</w:t>
      </w:r>
      <w:r w:rsidRPr="00A932A2">
        <w:rPr>
          <w:rFonts w:ascii="Arial" w:hAnsi="Arial" w:cs="Arial"/>
          <w:b/>
          <w:color w:val="000000"/>
          <w:sz w:val="22"/>
        </w:rPr>
        <w:t>La articolul 10, literele m) şi v) se modifică şi vor avea următorul</w:t>
      </w:r>
      <w:r w:rsidRPr="00A932A2">
        <w:rPr>
          <w:rFonts w:ascii="Arial" w:hAnsi="Arial" w:cs="Arial"/>
          <w:b/>
          <w:color w:val="000000"/>
          <w:sz w:val="22"/>
        </w:rPr>
        <w:t xml:space="preserve">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"m) avizează, pentru fiecare calificare profesională din unităţile de învăţământ - centru de examen, lista temelor de proiect;</w:t>
      </w:r>
    </w:p>
    <w:p w:rsidR="007202B3" w:rsidRPr="00A932A2" w:rsidRDefault="00421542" w:rsidP="00A932A2">
      <w:pPr>
        <w:spacing w:after="0" w:line="240" w:lineRule="auto"/>
        <w:ind w:left="373"/>
        <w:jc w:val="both"/>
        <w:rPr>
          <w:rFonts w:ascii="Arial" w:hAnsi="Arial" w:cs="Arial"/>
          <w:sz w:val="22"/>
        </w:rPr>
      </w:pPr>
      <w:r w:rsidRPr="00A932A2">
        <w:rPr>
          <w:rFonts w:ascii="Arial" w:hAnsi="Arial" w:cs="Arial"/>
          <w:color w:val="000000"/>
          <w:sz w:val="22"/>
        </w:rPr>
        <w:t>...............................</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v) primesc, de la comisiile de examinare din centrele de examen, rapoarte detaliate pri</w:t>
      </w:r>
      <w:r w:rsidRPr="00A932A2">
        <w:rPr>
          <w:rFonts w:ascii="Arial" w:hAnsi="Arial" w:cs="Arial"/>
          <w:color w:val="000000"/>
          <w:sz w:val="22"/>
        </w:rPr>
        <w:t>vind organizarea şi desfăşurarea examenului de certificare a calificării profesionale, structurate conform anexei nr. 5;"</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2.</w:t>
      </w:r>
      <w:r w:rsidRPr="00A932A2">
        <w:rPr>
          <w:rFonts w:ascii="Arial" w:hAnsi="Arial" w:cs="Arial"/>
          <w:b/>
          <w:color w:val="000000"/>
          <w:sz w:val="22"/>
        </w:rPr>
        <w:t>La articolul 12, alineatele (1) şi (2) se modifică şi vor avea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"Art. 12</w:t>
      </w:r>
      <w:r w:rsidR="00A932A2">
        <w:rPr>
          <w:rFonts w:ascii="Arial" w:hAnsi="Arial" w:cs="Arial"/>
          <w:color w:val="000000"/>
          <w:sz w:val="22"/>
        </w:rPr>
        <w:t xml:space="preserve"> </w:t>
      </w:r>
      <w:r w:rsidRPr="00A932A2">
        <w:rPr>
          <w:rFonts w:ascii="Arial" w:hAnsi="Arial" w:cs="Arial"/>
          <w:color w:val="000000"/>
          <w:sz w:val="22"/>
        </w:rPr>
        <w:t>(1) Comisiile de examinare din centrele d</w:t>
      </w:r>
      <w:r w:rsidRPr="00A932A2">
        <w:rPr>
          <w:rFonts w:ascii="Arial" w:hAnsi="Arial" w:cs="Arial"/>
          <w:color w:val="000000"/>
          <w:sz w:val="22"/>
        </w:rPr>
        <w:t>e examen, constituite în fiecare unitate de învăţământ acreditată, au următoarea componenţă:</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 preşedinte: directorul/directorul adjunct al unităţii de învăţământ desemnate centru de examen, de regulă cadru didactic de specialitate;</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b) vicepreşedinte: rep</w:t>
      </w:r>
      <w:r w:rsidRPr="00A932A2">
        <w:rPr>
          <w:rFonts w:ascii="Arial" w:hAnsi="Arial" w:cs="Arial"/>
          <w:color w:val="000000"/>
          <w:sz w:val="22"/>
        </w:rPr>
        <w:t>rezentantul operatorului economic pentru una dintre calificările profesionale certificate sau, în lipsa acestuia, un reprezentant al CLDPS sau un reprezentant al AJOFM/AMOFM; în cazul în care nu se poate asigura participarea persoanelor amintite, vicepreşe</w:t>
      </w:r>
      <w:r w:rsidRPr="00A932A2">
        <w:rPr>
          <w:rFonts w:ascii="Arial" w:hAnsi="Arial" w:cs="Arial"/>
          <w:color w:val="000000"/>
          <w:sz w:val="22"/>
        </w:rPr>
        <w:t>dinte poate fi directorul adjunct/responsabilul ariei curriculare «Tehnologii»;</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c) membrii evaluatori: cadre didactice de specialitate şi specialişti ai operatorilor economici/instituţiilor publice/ asociaţiilor profesionale;</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xml:space="preserve">d) secretar: secretarul </w:t>
      </w:r>
      <w:r w:rsidRPr="00A932A2">
        <w:rPr>
          <w:rFonts w:ascii="Arial" w:hAnsi="Arial" w:cs="Arial"/>
          <w:color w:val="000000"/>
          <w:sz w:val="22"/>
        </w:rPr>
        <w:t>unităţii de învăţământ în care se organizează centrul de examen sau un cadru didactic de specialitate cu competenţe digitale din respectiva unitate de învăţământ.</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(2) Pentru fiecare domeniu de pregătire profesională/ calificare profesională se va constitui</w:t>
      </w:r>
      <w:r w:rsidRPr="00A932A2">
        <w:rPr>
          <w:rFonts w:ascii="Arial" w:hAnsi="Arial" w:cs="Arial"/>
          <w:color w:val="000000"/>
          <w:sz w:val="22"/>
        </w:rPr>
        <w:t xml:space="preserve"> o subcomisie formată din 2 evaluatori, din care:</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 un membru este reprezentantul unui/unei operator economic/instituţii publice partener(e) în pregătirea practică a elevilor, specialist în calificarea/domeniul pentru care s-au pregătit absolvenţii care s</w:t>
      </w:r>
      <w:r w:rsidRPr="00A932A2">
        <w:rPr>
          <w:rFonts w:ascii="Arial" w:hAnsi="Arial" w:cs="Arial"/>
          <w:color w:val="000000"/>
          <w:sz w:val="22"/>
        </w:rPr>
        <w:t xml:space="preserve">usţin examenul de certificare a calificării profesionale, altul decât persoana care a îndeplinit calitatea de tutore în instruirea practică a elevilor, sau, dacă prezenţa acestuia nu este </w:t>
      </w:r>
      <w:r w:rsidRPr="00A932A2">
        <w:rPr>
          <w:rFonts w:ascii="Arial" w:hAnsi="Arial" w:cs="Arial"/>
          <w:color w:val="000000"/>
          <w:sz w:val="22"/>
        </w:rPr>
        <w:lastRenderedPageBreak/>
        <w:t>posibilă, un cadru didactic de specialitate din altă unitate de învă</w:t>
      </w:r>
      <w:r w:rsidRPr="00A932A2">
        <w:rPr>
          <w:rFonts w:ascii="Arial" w:hAnsi="Arial" w:cs="Arial"/>
          <w:color w:val="000000"/>
          <w:sz w:val="22"/>
        </w:rPr>
        <w:t>ţământ sau din unitatea de învăţământ din care provin absolvenţii care susţin examenul în centrul de examen;</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b) un membru este un cadru didactic de specialitate din unitatea de învăţământ din care provin absolvenţii care susţin examenul în centrul de exame</w:t>
      </w:r>
      <w:r w:rsidRPr="00A932A2">
        <w:rPr>
          <w:rFonts w:ascii="Arial" w:hAnsi="Arial" w:cs="Arial"/>
          <w:color w:val="000000"/>
          <w:sz w:val="22"/>
        </w:rPr>
        <w:t>n, care a asigurat coordonarea proiectului."</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3.</w:t>
      </w:r>
      <w:r w:rsidRPr="00A932A2">
        <w:rPr>
          <w:rFonts w:ascii="Arial" w:hAnsi="Arial" w:cs="Arial"/>
          <w:b/>
          <w:color w:val="000000"/>
          <w:sz w:val="22"/>
        </w:rPr>
        <w:t>La articolul 15, alineatele (1) şi (2) se modifică şi vor avea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"Art. 15</w:t>
      </w:r>
      <w:r w:rsidR="00A932A2">
        <w:rPr>
          <w:rFonts w:ascii="Arial" w:hAnsi="Arial" w:cs="Arial"/>
          <w:color w:val="000000"/>
          <w:sz w:val="22"/>
        </w:rPr>
        <w:t xml:space="preserve"> </w:t>
      </w:r>
      <w:r w:rsidRPr="00A932A2">
        <w:rPr>
          <w:rFonts w:ascii="Arial" w:hAnsi="Arial" w:cs="Arial"/>
          <w:color w:val="000000"/>
          <w:sz w:val="22"/>
        </w:rPr>
        <w:t>(1) În vederea înscrierii la examenul de certificare a calificării profesionale, profesorii diriginţi ai claselor term</w:t>
      </w:r>
      <w:r w:rsidRPr="00A932A2">
        <w:rPr>
          <w:rFonts w:ascii="Arial" w:hAnsi="Arial" w:cs="Arial"/>
          <w:color w:val="000000"/>
          <w:sz w:val="22"/>
        </w:rPr>
        <w:t>inale ale şcolii profesionale cu durata de 3 ani întocmesc tabele cu elevii din ultimul an, care cuprind următoarele date: clasa, domeniul de pregătire, calificarea profesională în care s-au pregătit, numele şi prenumele elevilor, semnătura profesorului di</w:t>
      </w:r>
      <w:r w:rsidRPr="00A932A2">
        <w:rPr>
          <w:rFonts w:ascii="Arial" w:hAnsi="Arial" w:cs="Arial"/>
          <w:color w:val="000000"/>
          <w:sz w:val="22"/>
        </w:rPr>
        <w:t>riginte.</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xml:space="preserve">(2) Tabelele prevăzute la alin. (1) se depun, însoţite de cererile de înscriere la examenul de certificare a calificării profesionale, în perioada prevăzută în graficul examenului de certificare, la secretariatul unităţii de învăţământ. Depunerea </w:t>
      </w:r>
      <w:r w:rsidRPr="00A932A2">
        <w:rPr>
          <w:rFonts w:ascii="Arial" w:hAnsi="Arial" w:cs="Arial"/>
          <w:color w:val="000000"/>
          <w:sz w:val="22"/>
        </w:rPr>
        <w:t>cererilor de înscriere se realizează on-line, pe adresa de e-mail a unităţii de învăţământ. În cazul în care elevii nu au mijloacele necesare transmiterii cererii de înscriere pe adresa de e-mail a unităţii de învăţământ, aceasta va fi depusă fizic la secr</w:t>
      </w:r>
      <w:r w:rsidRPr="00A932A2">
        <w:rPr>
          <w:rFonts w:ascii="Arial" w:hAnsi="Arial" w:cs="Arial"/>
          <w:color w:val="000000"/>
          <w:sz w:val="22"/>
        </w:rPr>
        <w:t>etariatul unităţii de învăţământ. Pe baza acestora, secretarul/secretarul-şef al unităţii de învăţământ întocmeşte lista provizorie cu elevii înscrişi pentru susţinerea examenului de certificare a calificării profesionale, pe domenii de pregătire şi califi</w:t>
      </w:r>
      <w:r w:rsidRPr="00A932A2">
        <w:rPr>
          <w:rFonts w:ascii="Arial" w:hAnsi="Arial" w:cs="Arial"/>
          <w:color w:val="000000"/>
          <w:sz w:val="22"/>
        </w:rPr>
        <w:t>cări profesionale."</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4.</w:t>
      </w:r>
      <w:r w:rsidRPr="00A932A2">
        <w:rPr>
          <w:rFonts w:ascii="Arial" w:hAnsi="Arial" w:cs="Arial"/>
          <w:b/>
          <w:color w:val="000000"/>
          <w:sz w:val="22"/>
        </w:rPr>
        <w:t>Articolul 19 se modifică şi va avea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"Art. 19</w:t>
      </w:r>
      <w:r w:rsidR="00A932A2">
        <w:rPr>
          <w:rFonts w:ascii="Arial" w:hAnsi="Arial" w:cs="Arial"/>
          <w:color w:val="000000"/>
          <w:sz w:val="22"/>
        </w:rPr>
        <w:t xml:space="preserve"> </w:t>
      </w:r>
      <w:r w:rsidRPr="00A932A2">
        <w:rPr>
          <w:rFonts w:ascii="Arial" w:hAnsi="Arial" w:cs="Arial"/>
          <w:color w:val="000000"/>
          <w:sz w:val="22"/>
        </w:rPr>
        <w:t>Examenul de certificare a calificării profesionale pentru absolvenţii învăţământului profesional cu durata de 3 ani constă într-o probă practică. Proba practică constă în</w:t>
      </w:r>
      <w:r w:rsidRPr="00A932A2">
        <w:rPr>
          <w:rFonts w:ascii="Arial" w:hAnsi="Arial" w:cs="Arial"/>
          <w:color w:val="000000"/>
          <w:sz w:val="22"/>
        </w:rPr>
        <w:t xml:space="preserve"> realizarea unui proiect care are ca scop evidenţierea unor activităţi specifice calificării, pe baza unităţilor de rezultate ale învăţării tehnice generale, a unităţilor de rezultate ale învăţării tehnice specializate, semnificative pentru demonstrarea, î</w:t>
      </w:r>
      <w:r w:rsidRPr="00A932A2">
        <w:rPr>
          <w:rFonts w:ascii="Arial" w:hAnsi="Arial" w:cs="Arial"/>
          <w:color w:val="000000"/>
          <w:sz w:val="22"/>
        </w:rPr>
        <w:t>n situaţia de examen de certificare, a dobândirii calificării respective."</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5.</w:t>
      </w:r>
      <w:r w:rsidRPr="00A932A2">
        <w:rPr>
          <w:rFonts w:ascii="Arial" w:hAnsi="Arial" w:cs="Arial"/>
          <w:b/>
          <w:color w:val="000000"/>
          <w:sz w:val="22"/>
        </w:rPr>
        <w:t>La articolul 20, alineatele (4) şi (5) se modifică şi vor avea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"(4) Temele de proiect sunt selectate de fiecare unitate de învăţământ - centru de examen din lis</w:t>
      </w:r>
      <w:r w:rsidRPr="00A932A2">
        <w:rPr>
          <w:rFonts w:ascii="Arial" w:hAnsi="Arial" w:cs="Arial"/>
          <w:color w:val="000000"/>
          <w:sz w:val="22"/>
        </w:rPr>
        <w:t>ta temelor de proiect aprobată.</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(5) Temele de proiect trebuie să se încadreze obligatoriu în curriculumul pentru calificarea profesională respectivă şi să se raporteze într-un mod direct şi transparent la standardul de pregătire profesională corespunzător.</w:t>
      </w:r>
      <w:r w:rsidRPr="00A932A2">
        <w:rPr>
          <w:rFonts w:ascii="Arial" w:hAnsi="Arial" w:cs="Arial"/>
          <w:color w:val="000000"/>
          <w:sz w:val="22"/>
        </w:rPr>
        <w:t xml:space="preserve"> Rezultatele învăţării dovedite prin realizarea proiectului trebuie să fie clar precizate în fişa de evaluare în vederea certificării calificării profesionale."</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6.</w:t>
      </w:r>
      <w:r w:rsidRPr="00A932A2">
        <w:rPr>
          <w:rFonts w:ascii="Arial" w:hAnsi="Arial" w:cs="Arial"/>
          <w:b/>
          <w:color w:val="000000"/>
          <w:sz w:val="22"/>
        </w:rPr>
        <w:t>La articolul 21, alineatele (6)-(8) se modifică şi vor avea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"(6) Unităţile</w:t>
      </w:r>
      <w:r w:rsidRPr="00A932A2">
        <w:rPr>
          <w:rFonts w:ascii="Arial" w:hAnsi="Arial" w:cs="Arial"/>
          <w:color w:val="000000"/>
          <w:sz w:val="22"/>
        </w:rPr>
        <w:t xml:space="preserve"> de învăţământ desemnate centre de examen, împreună cu operatorii economici/instituţiile publice cu care au încheiat parteneriate de pregătire practică, dacă prezenţa acestora este posibilă, vor elabora, pentru fiecare calificare profesională pentru care s</w:t>
      </w:r>
      <w:r w:rsidRPr="00A932A2">
        <w:rPr>
          <w:rFonts w:ascii="Arial" w:hAnsi="Arial" w:cs="Arial"/>
          <w:color w:val="000000"/>
          <w:sz w:val="22"/>
        </w:rPr>
        <w:t>e susţine examen de certificare a calificării profesionale lista temelor de proiect pentru proba practică. Temele propuse trebuie să acopere rezultatele învăţării din standardul de pregătire profesională pentru calificarea profesională pentru care se organ</w:t>
      </w:r>
      <w:r w:rsidRPr="00A932A2">
        <w:rPr>
          <w:rFonts w:ascii="Arial" w:hAnsi="Arial" w:cs="Arial"/>
          <w:color w:val="000000"/>
          <w:sz w:val="22"/>
        </w:rPr>
        <w:t>izează examen aferente anilor I, II şi primului semestru din anul al III-lea de studiu.</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(7) Lista temelor de proiect este aprobată de către consiliul de administraţie al unităţii de învăţământ şi avizată de CJEC/CMBEC.</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xml:space="preserve">(8) Comisia metodică de specialitate </w:t>
      </w:r>
      <w:r w:rsidRPr="00A932A2">
        <w:rPr>
          <w:rFonts w:ascii="Arial" w:hAnsi="Arial" w:cs="Arial"/>
          <w:color w:val="000000"/>
          <w:sz w:val="22"/>
        </w:rPr>
        <w:t>din fiecare unitate de învăţământ are obligaţia de a face publică/de a afişa la avizierul şcolii şi on-line lista temelor de proiect."</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7.</w:t>
      </w:r>
      <w:r w:rsidRPr="00A932A2">
        <w:rPr>
          <w:rFonts w:ascii="Arial" w:hAnsi="Arial" w:cs="Arial"/>
          <w:b/>
          <w:color w:val="000000"/>
          <w:sz w:val="22"/>
        </w:rPr>
        <w:t>La articolul 21, după alineatul (8) se introduce un nou alineat, alineatul (9), cu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 xml:space="preserve">"(9) Depunerea </w:t>
      </w:r>
      <w:r w:rsidRPr="00A932A2">
        <w:rPr>
          <w:rFonts w:ascii="Arial" w:hAnsi="Arial" w:cs="Arial"/>
          <w:color w:val="000000"/>
          <w:sz w:val="22"/>
        </w:rPr>
        <w:t>proiectului (în format pdf) se realizează online, pe adresa de e-mail a unităţii de învăţământ, urmând a fi arhivat în format digital şi păstrat 3 (trei) ani. În cazul în care elevii nu au mijloacele necesare transmiterii proiectului în format pdf pe adres</w:t>
      </w:r>
      <w:r w:rsidRPr="00A932A2">
        <w:rPr>
          <w:rFonts w:ascii="Arial" w:hAnsi="Arial" w:cs="Arial"/>
          <w:color w:val="000000"/>
          <w:sz w:val="22"/>
        </w:rPr>
        <w:t>a de e-mail a unităţii de învăţământ, acesta va fi depus fizic la secretariatul unităţii de învăţământ."</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8.</w:t>
      </w:r>
      <w:r w:rsidRPr="00A932A2">
        <w:rPr>
          <w:rFonts w:ascii="Arial" w:hAnsi="Arial" w:cs="Arial"/>
          <w:b/>
          <w:color w:val="000000"/>
          <w:sz w:val="22"/>
        </w:rPr>
        <w:t>La articolul 27, alineatele (1) şi (2) se modifică şi vor avea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"Art. 27</w:t>
      </w:r>
      <w:r w:rsidR="00A932A2">
        <w:rPr>
          <w:rFonts w:ascii="Arial" w:hAnsi="Arial" w:cs="Arial"/>
          <w:color w:val="000000"/>
          <w:sz w:val="22"/>
        </w:rPr>
        <w:t xml:space="preserve"> </w:t>
      </w:r>
      <w:r w:rsidRPr="00A932A2">
        <w:rPr>
          <w:rFonts w:ascii="Arial" w:hAnsi="Arial" w:cs="Arial"/>
          <w:color w:val="000000"/>
          <w:sz w:val="22"/>
        </w:rPr>
        <w:t>(1) Fiecare membru evaluator al comisiei/subcomisiei de ex</w:t>
      </w:r>
      <w:r w:rsidRPr="00A932A2">
        <w:rPr>
          <w:rFonts w:ascii="Arial" w:hAnsi="Arial" w:cs="Arial"/>
          <w:color w:val="000000"/>
          <w:sz w:val="22"/>
        </w:rPr>
        <w:t>aminare evaluează proiectele candidaţilor şi stabileşte un punctaj pentru fiecare indicator din fişa de evaluare.</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lastRenderedPageBreak/>
        <w:t>(2) Punctajul final al fiecărui candidat se stabileşte ca medie aritmetică, cu două zecimale, fără rotunjire, a punctajelor totale acordate de</w:t>
      </w:r>
      <w:r w:rsidRPr="00A932A2">
        <w:rPr>
          <w:rFonts w:ascii="Arial" w:hAnsi="Arial" w:cs="Arial"/>
          <w:color w:val="000000"/>
          <w:sz w:val="22"/>
        </w:rPr>
        <w:t xml:space="preserve"> către cei doi membri evaluatori ai comisiei/subcomisiei de examinare şi se consemnează în fişa de evaluare."</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9.</w:t>
      </w:r>
      <w:r w:rsidRPr="00A932A2">
        <w:rPr>
          <w:rFonts w:ascii="Arial" w:hAnsi="Arial" w:cs="Arial"/>
          <w:b/>
          <w:color w:val="000000"/>
          <w:sz w:val="22"/>
        </w:rPr>
        <w:t>La articolul 30, alineatele (1) şi (3) se modifică şi vor avea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"Art. 30</w:t>
      </w:r>
      <w:r w:rsidR="00A932A2">
        <w:rPr>
          <w:rFonts w:ascii="Arial" w:hAnsi="Arial" w:cs="Arial"/>
          <w:color w:val="000000"/>
          <w:sz w:val="22"/>
        </w:rPr>
        <w:t xml:space="preserve"> </w:t>
      </w:r>
      <w:r w:rsidRPr="00A932A2">
        <w:rPr>
          <w:rFonts w:ascii="Arial" w:hAnsi="Arial" w:cs="Arial"/>
          <w:color w:val="000000"/>
          <w:sz w:val="22"/>
        </w:rPr>
        <w:t>(1) Rezultatele finale ale candidaţilor la examenul d</w:t>
      </w:r>
      <w:r w:rsidRPr="00A932A2">
        <w:rPr>
          <w:rFonts w:ascii="Arial" w:hAnsi="Arial" w:cs="Arial"/>
          <w:color w:val="000000"/>
          <w:sz w:val="22"/>
        </w:rPr>
        <w:t>e certificare a calificării profesionale pot fi: «admis», cu precizarea calificativului obţinut pentru fiecare elev («Excelent», «Foarte bine», «Bine» sau «Satisfăcător»), «respins», «neprezentat».</w:t>
      </w:r>
    </w:p>
    <w:p w:rsidR="007202B3" w:rsidRPr="00A932A2" w:rsidRDefault="00421542" w:rsidP="00A932A2">
      <w:pPr>
        <w:spacing w:after="0" w:line="240" w:lineRule="auto"/>
        <w:ind w:left="373"/>
        <w:jc w:val="both"/>
        <w:rPr>
          <w:rFonts w:ascii="Arial" w:hAnsi="Arial" w:cs="Arial"/>
          <w:sz w:val="22"/>
        </w:rPr>
      </w:pPr>
      <w:r w:rsidRPr="00A932A2">
        <w:rPr>
          <w:rFonts w:ascii="Arial" w:hAnsi="Arial" w:cs="Arial"/>
          <w:color w:val="000000"/>
          <w:sz w:val="22"/>
        </w:rPr>
        <w:t>...............................</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(3) Un candidat se conside</w:t>
      </w:r>
      <w:r w:rsidRPr="00A932A2">
        <w:rPr>
          <w:rFonts w:ascii="Arial" w:hAnsi="Arial" w:cs="Arial"/>
          <w:color w:val="000000"/>
          <w:sz w:val="22"/>
        </w:rPr>
        <w:t>ră «neprezentat» dacă nu a depus proiectul on-line pe adresa de e-mail a unităţii de învăţământ absolvite sau în format fizic la secretariatul unităţii de învăţământ."</w:t>
      </w:r>
    </w:p>
    <w:p w:rsidR="00A932A2" w:rsidRDefault="00A932A2" w:rsidP="00A932A2">
      <w:pPr>
        <w:spacing w:after="0" w:line="240" w:lineRule="auto"/>
        <w:jc w:val="both"/>
        <w:rPr>
          <w:rFonts w:ascii="Arial" w:hAnsi="Arial" w:cs="Arial"/>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10.</w:t>
      </w:r>
      <w:r w:rsidRPr="00A932A2">
        <w:rPr>
          <w:rFonts w:ascii="Arial" w:hAnsi="Arial" w:cs="Arial"/>
          <w:b/>
          <w:color w:val="000000"/>
          <w:sz w:val="22"/>
        </w:rPr>
        <w:t>La articolul 31, alineatele (1) şi (2) se modifică şi vor avea următorul cuprins:</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"Ar</w:t>
      </w:r>
      <w:r w:rsidRPr="00A932A2">
        <w:rPr>
          <w:rFonts w:ascii="Arial" w:hAnsi="Arial" w:cs="Arial"/>
          <w:color w:val="000000"/>
          <w:sz w:val="22"/>
        </w:rPr>
        <w:t>t. 31</w:t>
      </w:r>
      <w:r w:rsidR="00A932A2">
        <w:rPr>
          <w:rFonts w:ascii="Arial" w:hAnsi="Arial" w:cs="Arial"/>
          <w:color w:val="000000"/>
          <w:sz w:val="22"/>
        </w:rPr>
        <w:t xml:space="preserve"> </w:t>
      </w:r>
      <w:r w:rsidRPr="00A932A2">
        <w:rPr>
          <w:rFonts w:ascii="Arial" w:hAnsi="Arial" w:cs="Arial"/>
          <w:color w:val="000000"/>
          <w:sz w:val="22"/>
        </w:rPr>
        <w:t>(1) După încheierea evaluării proiectelor şi după completarea cataloagelor se comunică rezultatul final al examenului de certificare a calificării profesionale prin afişare on-line şi la avizierul unităţii de învăţământ a listelor nominale finale.</w:t>
      </w: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(2</w:t>
      </w:r>
      <w:r w:rsidRPr="00A932A2">
        <w:rPr>
          <w:rFonts w:ascii="Arial" w:hAnsi="Arial" w:cs="Arial"/>
          <w:color w:val="000000"/>
          <w:sz w:val="22"/>
        </w:rPr>
        <w:t>) Listele nominale care se întocmesc pentru comunicarea rezultatelor finale ale examenului de certificare a calificării profesionale nivel 3 cuprind: unitatea de învăţământ, numele şi prenumele candidaţilor şi rezultatul final obţinut, respectiv «admis» (c</w:t>
      </w:r>
      <w:r w:rsidRPr="00A932A2">
        <w:rPr>
          <w:rFonts w:ascii="Arial" w:hAnsi="Arial" w:cs="Arial"/>
          <w:color w:val="000000"/>
          <w:sz w:val="22"/>
        </w:rPr>
        <w:t>u unul din calificativele «Excelent», «Foarte bine», «Bine» sau «Satisfăcător»), «respins», «neprezentat», după caz."</w:t>
      </w:r>
    </w:p>
    <w:p w:rsidR="00A932A2" w:rsidRDefault="00A932A2" w:rsidP="00A932A2">
      <w:pPr>
        <w:spacing w:after="0" w:line="240" w:lineRule="auto"/>
        <w:jc w:val="both"/>
        <w:rPr>
          <w:rFonts w:ascii="Arial" w:hAnsi="Arial" w:cs="Arial"/>
          <w:color w:val="000000"/>
          <w:sz w:val="22"/>
        </w:rPr>
      </w:pPr>
    </w:p>
    <w:p w:rsidR="00A932A2" w:rsidRDefault="00421542" w:rsidP="00A932A2">
      <w:pPr>
        <w:spacing w:after="0" w:line="240" w:lineRule="auto"/>
        <w:ind w:firstLine="708"/>
        <w:jc w:val="both"/>
        <w:rPr>
          <w:rFonts w:ascii="Arial" w:hAnsi="Arial" w:cs="Arial"/>
          <w:sz w:val="22"/>
        </w:rPr>
      </w:pPr>
      <w:r w:rsidRPr="00A932A2">
        <w:rPr>
          <w:rFonts w:ascii="Arial" w:hAnsi="Arial" w:cs="Arial"/>
          <w:color w:val="000000"/>
          <w:sz w:val="22"/>
        </w:rPr>
        <w:t>11.Anexa nr. 4 se modifică şi se înlocuieşte cu anexa care face parte integrantă din prezentul ordin.</w:t>
      </w:r>
    </w:p>
    <w:p w:rsidR="00A932A2" w:rsidRDefault="00A932A2" w:rsidP="00A932A2">
      <w:pPr>
        <w:spacing w:after="0" w:line="240" w:lineRule="auto"/>
        <w:jc w:val="both"/>
        <w:rPr>
          <w:rFonts w:ascii="Arial" w:hAnsi="Arial" w:cs="Arial"/>
          <w:sz w:val="22"/>
        </w:rPr>
      </w:pPr>
    </w:p>
    <w:p w:rsidR="00A932A2" w:rsidRDefault="00421542" w:rsidP="00A932A2">
      <w:pPr>
        <w:spacing w:after="0" w:line="240" w:lineRule="auto"/>
        <w:ind w:firstLine="708"/>
        <w:jc w:val="both"/>
        <w:rPr>
          <w:rFonts w:ascii="Arial" w:hAnsi="Arial" w:cs="Arial"/>
          <w:color w:val="000000"/>
          <w:sz w:val="22"/>
        </w:rPr>
      </w:pPr>
      <w:r w:rsidRPr="00A932A2">
        <w:rPr>
          <w:rFonts w:ascii="Arial" w:hAnsi="Arial" w:cs="Arial"/>
          <w:b/>
          <w:color w:val="000000"/>
          <w:sz w:val="22"/>
        </w:rPr>
        <w:t>Art. II</w:t>
      </w:r>
      <w:r w:rsidR="00A932A2">
        <w:rPr>
          <w:rFonts w:ascii="Arial" w:hAnsi="Arial" w:cs="Arial"/>
          <w:b/>
          <w:color w:val="000000"/>
          <w:sz w:val="22"/>
        </w:rPr>
        <w:t xml:space="preserve">. </w:t>
      </w:r>
      <w:r w:rsidRPr="00A932A2">
        <w:rPr>
          <w:rFonts w:ascii="Arial" w:hAnsi="Arial" w:cs="Arial"/>
          <w:color w:val="000000"/>
          <w:sz w:val="22"/>
        </w:rPr>
        <w:t xml:space="preserve">Prevederile art. 10 lit. n) </w:t>
      </w:r>
      <w:r w:rsidRPr="00A932A2">
        <w:rPr>
          <w:rFonts w:ascii="Arial" w:hAnsi="Arial" w:cs="Arial"/>
          <w:color w:val="000000"/>
          <w:sz w:val="22"/>
        </w:rPr>
        <w:t xml:space="preserve">şi t), art. 12 alin. (3), art. 14 lit. d), f) şi k), art. 20 alin. (2), (3) şi (6), art. 22, art. 23 alin. (3), art. 24-26 şi art. 30 alin. (4) şi (5) din </w:t>
      </w:r>
      <w:r w:rsidRPr="00A932A2">
        <w:rPr>
          <w:rFonts w:ascii="Arial" w:hAnsi="Arial" w:cs="Arial"/>
          <w:color w:val="1B1B1B"/>
          <w:sz w:val="22"/>
        </w:rPr>
        <w:t>Metodologia de organizare şi desfăşurare a examenului de certificare a calificării profesionale pentr</w:t>
      </w:r>
      <w:r w:rsidRPr="00A932A2">
        <w:rPr>
          <w:rFonts w:ascii="Arial" w:hAnsi="Arial" w:cs="Arial"/>
          <w:color w:val="1B1B1B"/>
          <w:sz w:val="22"/>
        </w:rPr>
        <w:t>u absolvenţii învăţământului profesional cu durata de 3 ani</w:t>
      </w:r>
      <w:r w:rsidRPr="00A932A2">
        <w:rPr>
          <w:rFonts w:ascii="Arial" w:hAnsi="Arial" w:cs="Arial"/>
          <w:color w:val="000000"/>
          <w:sz w:val="22"/>
        </w:rPr>
        <w:t xml:space="preserve">, aprobată prin Ordinul ministrului educaţiei naţionale nr. </w:t>
      </w:r>
      <w:r w:rsidRPr="00A932A2">
        <w:rPr>
          <w:rFonts w:ascii="Arial" w:hAnsi="Arial" w:cs="Arial"/>
          <w:color w:val="1B1B1B"/>
          <w:sz w:val="22"/>
        </w:rPr>
        <w:t>4.435/2014</w:t>
      </w:r>
      <w:r w:rsidRPr="00A932A2">
        <w:rPr>
          <w:rFonts w:ascii="Arial" w:hAnsi="Arial" w:cs="Arial"/>
          <w:color w:val="000000"/>
          <w:sz w:val="22"/>
        </w:rPr>
        <w:t>, nu se aplică pentru anul şcolar 2019-2020.</w:t>
      </w:r>
    </w:p>
    <w:p w:rsidR="00A932A2" w:rsidRDefault="00A932A2" w:rsidP="00A932A2">
      <w:pPr>
        <w:spacing w:after="0" w:line="240" w:lineRule="auto"/>
        <w:ind w:firstLine="708"/>
        <w:jc w:val="both"/>
        <w:rPr>
          <w:rFonts w:ascii="Arial" w:hAnsi="Arial" w:cs="Arial"/>
          <w:color w:val="000000"/>
          <w:sz w:val="22"/>
        </w:rPr>
      </w:pPr>
      <w:r>
        <w:rPr>
          <w:rFonts w:ascii="Arial" w:hAnsi="Arial" w:cs="Arial"/>
          <w:color w:val="000000"/>
          <w:sz w:val="22"/>
        </w:rPr>
        <w:t>[</w:t>
      </w:r>
      <w:r w:rsidRPr="00C17C3F">
        <w:rPr>
          <w:rFonts w:ascii="Arial" w:hAnsi="Arial" w:cs="Arial"/>
          <w:b/>
          <w:color w:val="000000"/>
          <w:sz w:val="22"/>
          <w:highlight w:val="yellow"/>
        </w:rPr>
        <w:t xml:space="preserve">Notă: Prezentăm textele din Metodologie care nu se aplică </w:t>
      </w:r>
      <w:r w:rsidRPr="00C17C3F">
        <w:rPr>
          <w:rFonts w:ascii="Arial" w:hAnsi="Arial" w:cs="Arial"/>
          <w:b/>
          <w:color w:val="000000"/>
          <w:sz w:val="22"/>
          <w:highlight w:val="yellow"/>
        </w:rPr>
        <w:t>pentru anul şcolar 2019-2020</w:t>
      </w:r>
      <w:r w:rsidRPr="00C17C3F">
        <w:rPr>
          <w:rFonts w:ascii="Arial" w:hAnsi="Arial" w:cs="Arial"/>
          <w:b/>
          <w:color w:val="000000"/>
          <w:sz w:val="22"/>
          <w:highlight w:val="yellow"/>
        </w:rPr>
        <w:t>, potrivit art. II:</w:t>
      </w:r>
    </w:p>
    <w:p w:rsidR="006B0007" w:rsidRPr="00190136" w:rsidRDefault="006B0007"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000000"/>
          <w:sz w:val="20"/>
          <w:szCs w:val="20"/>
          <w:highlight w:val="yellow"/>
        </w:rPr>
        <w:t xml:space="preserve">Art. 10 </w:t>
      </w:r>
      <w:r w:rsidRPr="00190136">
        <w:rPr>
          <w:rFonts w:ascii="Arial" w:hAnsi="Arial" w:cs="Arial"/>
          <w:i/>
          <w:color w:val="333333"/>
          <w:sz w:val="20"/>
          <w:szCs w:val="20"/>
          <w:highlight w:val="yellow"/>
          <w:shd w:val="clear" w:color="auto" w:fill="FFFFFF"/>
        </w:rPr>
        <w:t>CJEC/CMBEC au următoarele atribuţii:</w:t>
      </w:r>
    </w:p>
    <w:p w:rsidR="006B0007" w:rsidRPr="00190136" w:rsidRDefault="006B0007"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xml:space="preserve">(...) n) </w:t>
      </w:r>
      <w:r w:rsidRPr="00190136">
        <w:rPr>
          <w:rFonts w:ascii="Arial" w:hAnsi="Arial" w:cs="Arial"/>
          <w:i/>
          <w:color w:val="333333"/>
          <w:sz w:val="20"/>
          <w:szCs w:val="20"/>
          <w:highlight w:val="yellow"/>
          <w:shd w:val="clear" w:color="auto" w:fill="FFFFFF"/>
        </w:rPr>
        <w:t>desemnează, pentru fiecare centru de examen, un monitor de calitate al examenului de certificare a calificării profesionale, denumit în continuare monitor de calitate, pentru a asigura monitorizarea calităţii desfăşurării întregului examen;</w:t>
      </w:r>
    </w:p>
    <w:p w:rsidR="006B0007" w:rsidRPr="00190136" w:rsidRDefault="006B0007"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t)</w:t>
      </w:r>
      <w:r w:rsidRPr="00190136">
        <w:rPr>
          <w:rFonts w:ascii="Arial" w:hAnsi="Arial" w:cs="Arial"/>
          <w:i/>
          <w:color w:val="333333"/>
          <w:sz w:val="20"/>
          <w:szCs w:val="20"/>
          <w:highlight w:val="yellow"/>
          <w:shd w:val="clear" w:color="auto" w:fill="FFFFFF"/>
        </w:rPr>
        <w:t>decid, în cazuri deosebite sau la sesizarea monitorului de calitate, luarea măsurilor legale pentru soluţionarea situaţiilor în litigiu, în perioada desfăşurării examenului de certificare a calificării profesionale, informând CNEC despre rezultatele acestor soluţionări;</w:t>
      </w:r>
    </w:p>
    <w:p w:rsidR="006B0007" w:rsidRPr="00190136" w:rsidRDefault="006B0007"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xml:space="preserve">Art. 12 (3) </w:t>
      </w:r>
      <w:r w:rsidRPr="00190136">
        <w:rPr>
          <w:rFonts w:ascii="Arial" w:hAnsi="Arial" w:cs="Arial"/>
          <w:i/>
          <w:color w:val="333333"/>
          <w:sz w:val="20"/>
          <w:szCs w:val="20"/>
          <w:highlight w:val="yellow"/>
          <w:shd w:val="clear" w:color="auto" w:fill="FFFFFF"/>
        </w:rPr>
        <w:t>În cazul în care nu se poate asigura numărul de 3 membri evaluatori externi din judeţ/municipiul Bucureşti, care îndeplinesc condiţiile menţionate la alin. (2), CJEC/CMBEC se adresează judeţelor limitrofe.</w:t>
      </w:r>
    </w:p>
    <w:p w:rsidR="006B0007" w:rsidRPr="00190136" w:rsidRDefault="006B0007"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000000"/>
          <w:sz w:val="20"/>
          <w:szCs w:val="20"/>
          <w:highlight w:val="yellow"/>
        </w:rPr>
        <w:t xml:space="preserve">Art. 14. </w:t>
      </w:r>
      <w:r w:rsidRPr="00190136">
        <w:rPr>
          <w:rFonts w:ascii="Arial" w:hAnsi="Arial" w:cs="Arial"/>
          <w:i/>
          <w:color w:val="333333"/>
          <w:sz w:val="20"/>
          <w:szCs w:val="20"/>
          <w:highlight w:val="yellow"/>
          <w:shd w:val="clear" w:color="auto" w:fill="FFFFFF"/>
        </w:rPr>
        <w:t>Atribuţiile comisiilor de examinare din centrele de examen sunt următoarele:</w:t>
      </w:r>
    </w:p>
    <w:p w:rsidR="006B0007" w:rsidRPr="00190136" w:rsidRDefault="006B0007"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xml:space="preserve">(...) d) </w:t>
      </w:r>
      <w:r w:rsidRPr="00190136">
        <w:rPr>
          <w:rFonts w:ascii="Arial" w:hAnsi="Arial" w:cs="Arial"/>
          <w:i/>
          <w:color w:val="333333"/>
          <w:sz w:val="20"/>
          <w:szCs w:val="20"/>
          <w:highlight w:val="yellow"/>
          <w:shd w:val="clear" w:color="auto" w:fill="FFFFFF"/>
        </w:rPr>
        <w:t>repartizează, în ordine alfabetică, candidaţii pentru susţinerea probelor de examen, precizând locul de desfăşurare, şi afişează, la avizierul unităţii de învăţământ şi la locurile în care se desfăşoară probele, listele cu candidaţii ce urmează să susţină proba; repartizarea candidaţilor se afişează cu 24 de ore înainte de susţinerea probelor, cu precizarea orei la care trebuie să se prezinte candidaţii;</w:t>
      </w:r>
    </w:p>
    <w:p w:rsidR="006B0007" w:rsidRPr="00190136" w:rsidRDefault="006B0007"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xml:space="preserve">(...) f) </w:t>
      </w:r>
      <w:r w:rsidRPr="00190136">
        <w:rPr>
          <w:rFonts w:ascii="Arial" w:hAnsi="Arial" w:cs="Arial"/>
          <w:i/>
          <w:color w:val="333333"/>
          <w:sz w:val="20"/>
          <w:szCs w:val="20"/>
          <w:highlight w:val="yellow"/>
          <w:shd w:val="clear" w:color="auto" w:fill="FFFFFF"/>
        </w:rPr>
        <w:t>verifică respectarea Listei naţionale a temelor pentru proba practică şi a formatului fişelor de evaluare asociate;</w:t>
      </w:r>
    </w:p>
    <w:p w:rsidR="006B0007" w:rsidRPr="00190136" w:rsidRDefault="006B0007"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xml:space="preserve">(...) k) </w:t>
      </w:r>
      <w:r w:rsidRPr="00190136">
        <w:rPr>
          <w:rFonts w:ascii="Arial" w:hAnsi="Arial" w:cs="Arial"/>
          <w:i/>
          <w:color w:val="333333"/>
          <w:sz w:val="20"/>
          <w:szCs w:val="20"/>
          <w:highlight w:val="yellow"/>
          <w:shd w:val="clear" w:color="auto" w:fill="FFFFFF"/>
        </w:rPr>
        <w:t>stabilesc şi afişează zilnic rezultatul examinării pentru fiecare candidat;</w:t>
      </w:r>
    </w:p>
    <w:p w:rsidR="00190136" w:rsidRPr="00190136" w:rsidRDefault="00190136"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xml:space="preserve">Art. 20 (2) </w:t>
      </w:r>
      <w:r w:rsidRPr="00190136">
        <w:rPr>
          <w:rFonts w:ascii="Arial" w:hAnsi="Arial" w:cs="Arial"/>
          <w:i/>
          <w:color w:val="333333"/>
          <w:sz w:val="20"/>
          <w:szCs w:val="20"/>
          <w:highlight w:val="yellow"/>
          <w:shd w:val="clear" w:color="auto" w:fill="FFFFFF"/>
        </w:rPr>
        <w:t>Proba orală are scopul de a permite absolventului prezentarea rezultatelor probei practice şi argumentarea soluţiilor alese în concordanţă cu competenţele/rezultatele învăţării din standardul de pregătire profesională.</w:t>
      </w:r>
    </w:p>
    <w:p w:rsidR="00190136" w:rsidRPr="00190136" w:rsidRDefault="00190136"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xml:space="preserve">(3) </w:t>
      </w:r>
      <w:r w:rsidRPr="00190136">
        <w:rPr>
          <w:rFonts w:ascii="Arial" w:hAnsi="Arial" w:cs="Arial"/>
          <w:i/>
          <w:color w:val="333333"/>
          <w:sz w:val="20"/>
          <w:szCs w:val="20"/>
          <w:highlight w:val="yellow"/>
          <w:shd w:val="clear" w:color="auto" w:fill="FFFFFF"/>
        </w:rPr>
        <w:t>Proba practică are o durată variabilă, de maximum 3 ore, în funcţie de calificarea profesională, conform reperelor de timp stabilite şi precizate în Lista naţională a temelor pentru proba practică. Proba orală are durata medie de 15 minute şi se desfăşoară după realizarea probei practice sau după expirarea timpului maxim alocat probei practice.</w:t>
      </w:r>
    </w:p>
    <w:p w:rsidR="00190136" w:rsidRPr="00190136" w:rsidRDefault="00190136" w:rsidP="00190136">
      <w:pPr>
        <w:spacing w:after="0" w:line="240" w:lineRule="auto"/>
        <w:ind w:firstLine="709"/>
        <w:jc w:val="both"/>
        <w:rPr>
          <w:rFonts w:ascii="Arial" w:hAnsi="Arial" w:cs="Arial"/>
          <w:i/>
          <w:color w:val="333333"/>
          <w:sz w:val="20"/>
          <w:szCs w:val="20"/>
          <w:highlight w:val="yellow"/>
          <w:shd w:val="clear" w:color="auto" w:fill="FFFFFF"/>
        </w:rPr>
      </w:pPr>
      <w:r w:rsidRPr="00190136">
        <w:rPr>
          <w:rFonts w:ascii="Arial" w:hAnsi="Arial" w:cs="Arial"/>
          <w:i/>
          <w:color w:val="333333"/>
          <w:sz w:val="20"/>
          <w:szCs w:val="20"/>
          <w:highlight w:val="yellow"/>
          <w:shd w:val="clear" w:color="auto" w:fill="FFFFFF"/>
        </w:rPr>
        <w:t xml:space="preserve">(6) </w:t>
      </w:r>
      <w:r w:rsidRPr="00190136">
        <w:rPr>
          <w:rFonts w:ascii="Arial" w:hAnsi="Arial" w:cs="Arial"/>
          <w:i/>
          <w:color w:val="333333"/>
          <w:sz w:val="20"/>
          <w:szCs w:val="20"/>
          <w:highlight w:val="yellow"/>
          <w:shd w:val="clear" w:color="auto" w:fill="FFFFFF"/>
        </w:rPr>
        <w:t>Pentru desfăşurarea probei orale membrii evaluatori ai comisiei de examinare, de regulă după prezentarea făcută de candidat, adresează întrebări candidatului; întrebările sunt formulate în legătură cu unele aspecte teoretice sau practice legate de produsul/subansamblul/serviciul/operaţiile specifice realizat(e)/executat(e) în cadrul probei practice, relevante pentru calificarea profesională pentru care se susţine examenul, întrebările adresate candidatului se consemnează în Fişa de evaluare.</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shd w:val="clear" w:color="auto" w:fill="FFFFFF"/>
        </w:rPr>
        <w:lastRenderedPageBreak/>
        <w:t xml:space="preserve">Art. 22 </w:t>
      </w:r>
      <w:r w:rsidRPr="00190136">
        <w:rPr>
          <w:rFonts w:ascii="Arial" w:hAnsi="Arial" w:cs="Arial"/>
          <w:i/>
          <w:color w:val="333333"/>
          <w:sz w:val="20"/>
          <w:szCs w:val="20"/>
          <w:highlight w:val="yellow"/>
          <w:lang w:val="ro-RO"/>
        </w:rPr>
        <w:t>(1)Proba practică se desfăşoară, de regulă, la operatorii economici/instituţiile publice cu care unitatea de învăţământ - centru de examen are parteneriat pentru pregătirea practică, pentru fiecare calificare profesională pentru care se organizează examenul de certificare a calificării profesionale.</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(2)Unitatea de învăţământ desemnată centru de examen solicită, în scris, acceptul operatorului economic/instituţiei publice la care se vor derula probele practice, pentru fiecare calificare profesională. În cazul în care operatorul economic/instituţia publică parteneră acceptă organizarea şi desfăşurarea probei practice în atelierele/laboratoarele proprii se semnează un angajament scris de către acesta/aceasta, angajament care se înaintează unităţii de învăţământ - centru de examen.</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(3)Refuzul scris al operatorului economic/instituţiei publice partenere, indiferent de motive, conduce la organizarea şi desfăşurarea probei practice la alt operator economic/instituţie publică parteneră pentru aceeaşi calificare, cu acordul acestuia/acesteia sau în atelierele şcoală/laboratoarele tehnologice/loturile şcolare ale unităţii de învăţământ - centru de examen, cu condiţia ca acestea să îndeplinească toate cerinţele pentru buna desfăşurare a examenului de certificare a calificării profesionale.</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(4)Pe perioada desfăşurării probei practice, unitatea de învăţământ - centru de examen, în parteneriat cu operatorul economic/instituţia publică, asigură toată baza materială necesară executării produsului/subansamblului/serviciului operaţiilor specifice şi mentenanţa sculelor/dispozitivelor/ aparatelor/instalaţiilor necesare.</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(5)Cheltuielile aferente organizării şi desfăşurării probei practice (materii prime, materiale, subansamble, scule, dispozitive, lucrări de întreţinere etc.) sunt suportate din bugetul operatorului economic/instituţiei publice partenere unităţii de învăţământ-centru de examen, din bugetul local alocat unităţii de învăţământ - centru de examen, din sponsorizări şi/sau din donaţii.</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(6)CJEC/CMBEC verifică asigurarea condiţiilor optime de organizare şi desfăşurare a probelor de examen şi ia măsuri de remediere a deficienţelor, acolo unde este cazul.</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 xml:space="preserve">Art. 23 (3) </w:t>
      </w:r>
      <w:r w:rsidRPr="00190136">
        <w:rPr>
          <w:rFonts w:ascii="Arial" w:hAnsi="Arial" w:cs="Arial"/>
          <w:i/>
          <w:color w:val="333333"/>
          <w:sz w:val="20"/>
          <w:szCs w:val="20"/>
          <w:highlight w:val="yellow"/>
          <w:shd w:val="clear" w:color="auto" w:fill="FFFFFF"/>
        </w:rPr>
        <w:t>Comisia de examinare repartizează candidaţii, în ordine alfabetică, indiferent de unitatea de învăţământ de provenienţă, pentru susţinerea probelor de examen, precizând locul de desfăşurare, şi afişează listele cu candidaţii ce urmează să susţină probele, cu precizarea orei la care trebuie să se prezinte aceştia, la avizierul unităţii de învăţământ - centru de examen şi la locurile în care se desfăşoară probele. Repartizarea candidaţilor se afişează cu 24 de ore înainte de susţinerea probelor.</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b/>
          <w:bCs/>
          <w:i/>
          <w:color w:val="333333"/>
          <w:sz w:val="20"/>
          <w:szCs w:val="20"/>
          <w:highlight w:val="yellow"/>
          <w:lang w:val="ro-RO"/>
        </w:rPr>
        <w:t xml:space="preserve">Art. 24 </w:t>
      </w:r>
      <w:r w:rsidRPr="00190136">
        <w:rPr>
          <w:rFonts w:ascii="Arial" w:hAnsi="Arial" w:cs="Arial"/>
          <w:i/>
          <w:color w:val="333333"/>
          <w:sz w:val="20"/>
          <w:szCs w:val="20"/>
          <w:highlight w:val="yellow"/>
          <w:lang w:val="ro-RO"/>
        </w:rPr>
        <w:t>(1)La fiecare comisie de examinare, candidaţii sunt înscrişi în ordine alfabetică, pe calificări profesionale. Candidaţii se prezintă la locul desemnat pentru desfăşurarea probei practice în ordinea afişată, respectându-se ora prevăzută. Preşedintele/vicepreşedintele/membrii comisiei verifică identitatea fiecărui elev.</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(2)Persoana desemnată de către operatorul economic/instituţia publică parteneră care organizează desfăşurarea probei practice sau de către unitatea de învăţământ - centru de examen, acolo unde este cazul, face instructajul de tehnica sănătăţii şi securităţii muncii, cu normele specifice locului de desfăşurare a probei practice, şi întocmeşte un proces-verbal de instructaj, semnat de candidaţi.</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b/>
          <w:bCs/>
          <w:i/>
          <w:color w:val="333333"/>
          <w:sz w:val="20"/>
          <w:szCs w:val="20"/>
          <w:highlight w:val="yellow"/>
          <w:lang w:val="ro-RO"/>
        </w:rPr>
        <w:t xml:space="preserve">Art. 25 </w:t>
      </w:r>
      <w:r w:rsidRPr="00190136">
        <w:rPr>
          <w:rFonts w:ascii="Arial" w:hAnsi="Arial" w:cs="Arial"/>
          <w:i/>
          <w:color w:val="333333"/>
          <w:sz w:val="20"/>
          <w:szCs w:val="20"/>
          <w:highlight w:val="yellow"/>
          <w:lang w:val="ro-RO"/>
        </w:rPr>
        <w:t>(1)Tema pentru proba practică, pentru fiecare candidat, este extrasă din Lista temelor selectate şi aprobate pentru unitatea de învăţământ - centru de examen, după efectuarea instructajului cu normele specifice locului de desfăşurare a probei.</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(2)Un membru evaluator al comisiei de examinare completează datele de identificare ale candidatului în Fişa de evaluare, asociată temei pentru proba practică extrasă.</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(3)Candidatul este condus la postul de lucru şi realizează produsul/subansamblul/serviciul şi/sau execută operaţiile specifice descrise în tema extrasă, în perioada de timp menţionată. Proba practică se desfăşoară în prezenţa membrilor evaluatori ai comisiei/subcomisiei de examinare.</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(4)După terminarea probei practice sau după expirarea timpului maxim de lucru alocat, fiecare membru evaluator al comisiei/subcomisiei de examinare evaluează modul de desfăşurare a probei practice pentru fiecare candidat şi acordă puncte pentru fiecare indicator de apreciere al performanţei conform Fişei de evaluare. Fiecare membru evaluator consemnează punctele acordate pentru indicatorii de realizare în Fişa de evaluare şi calculează punctajul total pentru proba practică.</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b/>
          <w:bCs/>
          <w:i/>
          <w:color w:val="333333"/>
          <w:sz w:val="20"/>
          <w:szCs w:val="20"/>
          <w:highlight w:val="yellow"/>
          <w:lang w:val="ro-RO"/>
        </w:rPr>
        <w:t xml:space="preserve">Art. 26 </w:t>
      </w:r>
      <w:r w:rsidRPr="00190136">
        <w:rPr>
          <w:rFonts w:ascii="Arial" w:hAnsi="Arial" w:cs="Arial"/>
          <w:i/>
          <w:color w:val="333333"/>
          <w:sz w:val="20"/>
          <w:szCs w:val="20"/>
          <w:highlight w:val="yellow"/>
          <w:lang w:val="ro-RO"/>
        </w:rPr>
        <w:t>(1)Proba orală este susţinută de către fiecare candidat după finalizarea probei practice sau după expirarea timpului maxim alocat probei practice. Candidatul prezintă, în aproximativ 15 minute, produsul/subansamblul/serviciul realizat sau operaţiile specifice executate şi răspunde întrebărilor puse de membrii evaluatori ai comisiei/subcomisiei de examinare.</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(2)Fiecare membru evaluator al comisiei/subcomisiei de examinare notează pe Fişa de evaluare punctele acordate pentru fiecare indicator de realizare pentru proba orală şi calculează punctajul total pentru proba orală.</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shd w:val="clear" w:color="auto" w:fill="FFFFFF"/>
          <w:lang w:val="ro-RO"/>
        </w:rPr>
        <w:t xml:space="preserve">Art. 30 </w:t>
      </w:r>
      <w:r w:rsidRPr="00190136">
        <w:rPr>
          <w:rFonts w:ascii="Arial" w:hAnsi="Arial" w:cs="Arial"/>
          <w:i/>
          <w:color w:val="333333"/>
          <w:sz w:val="20"/>
          <w:szCs w:val="20"/>
          <w:highlight w:val="yellow"/>
          <w:lang w:val="ro-RO"/>
        </w:rPr>
        <w:t>(4)Un candidat se consideră "eliminat din examen" dacă:</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a)a fost înscris la examenul de certificare a calificării profesionale fără a îndeplini condiţiile legale de înscriere la acesta;</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b)a beneficiat de părtinire frauduloasă dovedită;</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c)a introdus materiale ajutătoare sau mijloace electronice în locurile de desfăşurare a examenului de certificare a calificării profesionale înainte sau în timpul desfăşurării probelor de examen sau a fost surprins transmiţând altor candidaţi soluţii de rezolvare a sarcinilor de lucru;</w:t>
      </w:r>
    </w:p>
    <w:p w:rsidR="00190136" w:rsidRPr="00190136" w:rsidRDefault="00190136" w:rsidP="00190136">
      <w:pPr>
        <w:shd w:val="clear" w:color="auto" w:fill="FFFFFF"/>
        <w:spacing w:after="0" w:line="240" w:lineRule="auto"/>
        <w:ind w:firstLine="709"/>
        <w:jc w:val="both"/>
        <w:rPr>
          <w:rFonts w:ascii="Arial" w:hAnsi="Arial" w:cs="Arial"/>
          <w:i/>
          <w:color w:val="333333"/>
          <w:sz w:val="20"/>
          <w:szCs w:val="20"/>
          <w:highlight w:val="yellow"/>
          <w:lang w:val="ro-RO"/>
        </w:rPr>
      </w:pPr>
      <w:r w:rsidRPr="00190136">
        <w:rPr>
          <w:rFonts w:ascii="Arial" w:hAnsi="Arial" w:cs="Arial"/>
          <w:i/>
          <w:color w:val="333333"/>
          <w:sz w:val="20"/>
          <w:szCs w:val="20"/>
          <w:highlight w:val="yellow"/>
          <w:lang w:val="ro-RO"/>
        </w:rPr>
        <w:t>d)a pus în pericol propria securitate şi a altor persoane sau a generat potenţiale situaţii de urgenţă, prin nerespectarea normelor specifice locului de desfăşurare a probelor de examen.</w:t>
      </w:r>
    </w:p>
    <w:p w:rsidR="00A932A2" w:rsidRDefault="00190136" w:rsidP="00190136">
      <w:pPr>
        <w:shd w:val="clear" w:color="auto" w:fill="FFFFFF"/>
        <w:spacing w:after="0" w:line="240" w:lineRule="auto"/>
        <w:ind w:firstLine="709"/>
        <w:jc w:val="both"/>
        <w:rPr>
          <w:rFonts w:ascii="Arial" w:hAnsi="Arial" w:cs="Arial"/>
          <w:sz w:val="22"/>
        </w:rPr>
      </w:pPr>
      <w:r w:rsidRPr="00190136">
        <w:rPr>
          <w:rFonts w:ascii="Arial" w:hAnsi="Arial" w:cs="Arial"/>
          <w:i/>
          <w:color w:val="333333"/>
          <w:sz w:val="20"/>
          <w:szCs w:val="20"/>
          <w:highlight w:val="yellow"/>
          <w:lang w:val="ro-RO"/>
        </w:rPr>
        <w:lastRenderedPageBreak/>
        <w:t>(5)Pentru fiecare candidat eliminat din examen, comisia de examinare întocmeşte un proces-verbal de constatare a faptelor săvârşite, însoţit de dovezi şi de justificarea deciziei comisiei. Procesul-verbal este semnat de toţi membrii comisiei.</w:t>
      </w:r>
      <w:r w:rsidR="00A932A2">
        <w:rPr>
          <w:rFonts w:ascii="Arial" w:hAnsi="Arial" w:cs="Arial"/>
          <w:color w:val="000000"/>
          <w:sz w:val="22"/>
        </w:rPr>
        <w:t>]</w:t>
      </w:r>
    </w:p>
    <w:p w:rsidR="00A932A2" w:rsidRDefault="00A932A2" w:rsidP="00A932A2">
      <w:pPr>
        <w:spacing w:after="0" w:line="240" w:lineRule="auto"/>
        <w:ind w:firstLine="708"/>
        <w:jc w:val="both"/>
        <w:rPr>
          <w:rFonts w:ascii="Arial" w:hAnsi="Arial" w:cs="Arial"/>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b/>
          <w:color w:val="000000"/>
          <w:sz w:val="22"/>
        </w:rPr>
        <w:t>Art. III</w:t>
      </w:r>
      <w:r w:rsidR="00A932A2">
        <w:rPr>
          <w:rFonts w:ascii="Arial" w:hAnsi="Arial" w:cs="Arial"/>
          <w:b/>
          <w:color w:val="000000"/>
          <w:sz w:val="22"/>
        </w:rPr>
        <w:t xml:space="preserve">. </w:t>
      </w:r>
      <w:r w:rsidRPr="00A932A2">
        <w:rPr>
          <w:rFonts w:ascii="Arial" w:hAnsi="Arial" w:cs="Arial"/>
          <w:color w:val="000000"/>
          <w:sz w:val="22"/>
        </w:rPr>
        <w:t>Modificările prevăzute la art. I şi II se aplică doar pentru certificarea</w:t>
      </w:r>
      <w:r w:rsidRPr="00A932A2">
        <w:rPr>
          <w:rFonts w:ascii="Arial" w:hAnsi="Arial" w:cs="Arial"/>
          <w:color w:val="000000"/>
          <w:sz w:val="22"/>
        </w:rPr>
        <w:t xml:space="preserve"> calificării profesionale pentru absolvenţii învăţământului profesional pentru anul şcolar 2019-2020.</w:t>
      </w:r>
    </w:p>
    <w:p w:rsidR="00A932A2" w:rsidRDefault="00A932A2" w:rsidP="00A932A2">
      <w:pPr>
        <w:spacing w:after="0" w:line="240" w:lineRule="auto"/>
        <w:jc w:val="both"/>
        <w:rPr>
          <w:rFonts w:ascii="Arial" w:hAnsi="Arial" w:cs="Arial"/>
          <w:b/>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b/>
          <w:color w:val="000000"/>
          <w:sz w:val="22"/>
        </w:rPr>
        <w:t>Art. IV</w:t>
      </w:r>
      <w:r w:rsidR="00A932A2">
        <w:rPr>
          <w:rFonts w:ascii="Arial" w:hAnsi="Arial" w:cs="Arial"/>
          <w:b/>
          <w:color w:val="000000"/>
          <w:sz w:val="22"/>
        </w:rPr>
        <w:t xml:space="preserve">. </w:t>
      </w:r>
      <w:r w:rsidRPr="00A932A2">
        <w:rPr>
          <w:rFonts w:ascii="Arial" w:hAnsi="Arial" w:cs="Arial"/>
          <w:color w:val="000000"/>
          <w:sz w:val="22"/>
        </w:rPr>
        <w:t>Direcţia generală învăţământ preuniversitar, Centrul Naţional de Politici şi Evaluare în Educaţie, Direcţia generală minorităţi şi relaţia cu Parl</w:t>
      </w:r>
      <w:r w:rsidRPr="00A932A2">
        <w:rPr>
          <w:rFonts w:ascii="Arial" w:hAnsi="Arial" w:cs="Arial"/>
          <w:color w:val="000000"/>
          <w:sz w:val="22"/>
        </w:rPr>
        <w:t>amentul, Centrul Naţional de Dezvoltare a Învăţământului Profesional şi Tehnic, inspectoratele şcolare judeţene/al municipiului Bucureşti şi unităţile de învăţământ preuniversitar duc la îndeplinire prevederile prezentului ordin.</w:t>
      </w:r>
    </w:p>
    <w:p w:rsidR="00A932A2" w:rsidRDefault="00A932A2" w:rsidP="00A932A2">
      <w:pPr>
        <w:spacing w:after="0" w:line="240" w:lineRule="auto"/>
        <w:jc w:val="both"/>
        <w:rPr>
          <w:rFonts w:ascii="Arial" w:hAnsi="Arial" w:cs="Arial"/>
          <w:b/>
          <w:color w:val="000000"/>
          <w:sz w:val="22"/>
        </w:rPr>
      </w:pPr>
    </w:p>
    <w:p w:rsidR="007202B3" w:rsidRPr="00A932A2" w:rsidRDefault="00421542" w:rsidP="00A932A2">
      <w:pPr>
        <w:spacing w:after="0" w:line="240" w:lineRule="auto"/>
        <w:ind w:firstLine="708"/>
        <w:jc w:val="both"/>
        <w:rPr>
          <w:rFonts w:ascii="Arial" w:hAnsi="Arial" w:cs="Arial"/>
          <w:sz w:val="22"/>
        </w:rPr>
      </w:pPr>
      <w:r w:rsidRPr="00A932A2">
        <w:rPr>
          <w:rFonts w:ascii="Arial" w:hAnsi="Arial" w:cs="Arial"/>
          <w:b/>
          <w:color w:val="000000"/>
          <w:sz w:val="22"/>
        </w:rPr>
        <w:t>Art. V</w:t>
      </w:r>
      <w:r w:rsidR="00A932A2">
        <w:rPr>
          <w:rFonts w:ascii="Arial" w:hAnsi="Arial" w:cs="Arial"/>
          <w:b/>
          <w:color w:val="000000"/>
          <w:sz w:val="22"/>
        </w:rPr>
        <w:t xml:space="preserve">. </w:t>
      </w:r>
      <w:r w:rsidRPr="00A932A2">
        <w:rPr>
          <w:rFonts w:ascii="Arial" w:hAnsi="Arial" w:cs="Arial"/>
          <w:color w:val="000000"/>
          <w:sz w:val="22"/>
        </w:rPr>
        <w:t xml:space="preserve">Prezentul ordin se </w:t>
      </w:r>
      <w:r w:rsidRPr="00A932A2">
        <w:rPr>
          <w:rFonts w:ascii="Arial" w:hAnsi="Arial" w:cs="Arial"/>
          <w:color w:val="000000"/>
          <w:sz w:val="22"/>
        </w:rPr>
        <w:t>publică în Monitorul Oficial al României, Partea I.</w:t>
      </w:r>
    </w:p>
    <w:p w:rsidR="007202B3" w:rsidRPr="00A932A2" w:rsidRDefault="007202B3" w:rsidP="00A932A2">
      <w:pPr>
        <w:spacing w:after="0" w:line="240" w:lineRule="auto"/>
        <w:jc w:val="both"/>
        <w:rPr>
          <w:rFonts w:ascii="Arial" w:hAnsi="Arial" w:cs="Arial"/>
          <w:sz w:val="22"/>
        </w:rPr>
      </w:pPr>
    </w:p>
    <w:p w:rsidR="00A932A2" w:rsidRPr="00A932A2" w:rsidRDefault="00A932A2" w:rsidP="00A932A2">
      <w:pPr>
        <w:spacing w:after="0" w:line="240" w:lineRule="auto"/>
        <w:jc w:val="center"/>
        <w:rPr>
          <w:rFonts w:ascii="Arial" w:hAnsi="Arial" w:cs="Arial"/>
          <w:sz w:val="22"/>
        </w:rPr>
      </w:pPr>
      <w:r w:rsidRPr="00A932A2">
        <w:rPr>
          <w:rFonts w:ascii="Arial" w:hAnsi="Arial" w:cs="Arial"/>
          <w:color w:val="000000"/>
          <w:sz w:val="22"/>
        </w:rPr>
        <w:t>Ministrul educaţiei şi cercetării,</w:t>
      </w:r>
    </w:p>
    <w:p w:rsidR="00A932A2" w:rsidRDefault="00A932A2" w:rsidP="00A932A2">
      <w:pPr>
        <w:spacing w:after="0" w:line="240" w:lineRule="auto"/>
        <w:jc w:val="center"/>
        <w:rPr>
          <w:rFonts w:ascii="Arial" w:hAnsi="Arial" w:cs="Arial"/>
          <w:b/>
          <w:color w:val="000000"/>
          <w:sz w:val="22"/>
        </w:rPr>
      </w:pPr>
      <w:r w:rsidRPr="00A932A2">
        <w:rPr>
          <w:rFonts w:ascii="Arial" w:hAnsi="Arial" w:cs="Arial"/>
          <w:b/>
          <w:color w:val="000000"/>
          <w:sz w:val="22"/>
        </w:rPr>
        <w:t>Cristina Monica Anisie</w:t>
      </w:r>
    </w:p>
    <w:p w:rsidR="00A932A2" w:rsidRDefault="00A932A2" w:rsidP="00A932A2">
      <w:pPr>
        <w:spacing w:after="0" w:line="240" w:lineRule="auto"/>
        <w:jc w:val="center"/>
        <w:rPr>
          <w:rFonts w:ascii="Arial" w:hAnsi="Arial" w:cs="Arial"/>
          <w:b/>
          <w:color w:val="000000"/>
          <w:sz w:val="22"/>
        </w:rPr>
      </w:pPr>
    </w:p>
    <w:p w:rsidR="00A932A2" w:rsidRDefault="00A932A2" w:rsidP="00A932A2">
      <w:pPr>
        <w:spacing w:after="0" w:line="240" w:lineRule="auto"/>
        <w:jc w:val="center"/>
        <w:rPr>
          <w:rFonts w:ascii="Arial" w:hAnsi="Arial" w:cs="Arial"/>
          <w:b/>
          <w:color w:val="000000"/>
          <w:sz w:val="22"/>
        </w:rPr>
      </w:pPr>
    </w:p>
    <w:p w:rsidR="00A932A2" w:rsidRDefault="00421542" w:rsidP="00A932A2">
      <w:pPr>
        <w:spacing w:after="0" w:line="240" w:lineRule="auto"/>
        <w:jc w:val="right"/>
        <w:rPr>
          <w:rFonts w:ascii="Arial" w:hAnsi="Arial" w:cs="Arial"/>
          <w:b/>
          <w:color w:val="000000"/>
          <w:sz w:val="22"/>
        </w:rPr>
      </w:pPr>
      <w:r w:rsidRPr="00A932A2">
        <w:rPr>
          <w:rFonts w:ascii="Arial" w:hAnsi="Arial" w:cs="Arial"/>
          <w:b/>
          <w:color w:val="000000"/>
          <w:sz w:val="22"/>
        </w:rPr>
        <w:t>ANEXĂ:</w:t>
      </w:r>
    </w:p>
    <w:p w:rsidR="00A932A2" w:rsidRDefault="00421542" w:rsidP="00A932A2">
      <w:pPr>
        <w:spacing w:after="0" w:line="240" w:lineRule="auto"/>
        <w:jc w:val="center"/>
        <w:rPr>
          <w:rFonts w:ascii="Arial" w:hAnsi="Arial" w:cs="Arial"/>
          <w:b/>
          <w:color w:val="000000"/>
          <w:sz w:val="22"/>
        </w:rPr>
      </w:pPr>
      <w:r w:rsidRPr="00A932A2">
        <w:rPr>
          <w:rFonts w:ascii="Arial" w:hAnsi="Arial" w:cs="Arial"/>
          <w:b/>
          <w:color w:val="000000"/>
          <w:sz w:val="22"/>
        </w:rPr>
        <w:t xml:space="preserve">FIŞA DE EVALUARE </w:t>
      </w:r>
    </w:p>
    <w:p w:rsidR="007202B3" w:rsidRPr="00A932A2" w:rsidRDefault="00421542" w:rsidP="00A932A2">
      <w:pPr>
        <w:spacing w:after="0" w:line="240" w:lineRule="auto"/>
        <w:jc w:val="center"/>
        <w:rPr>
          <w:rFonts w:ascii="Arial" w:hAnsi="Arial" w:cs="Arial"/>
          <w:sz w:val="22"/>
        </w:rPr>
      </w:pPr>
      <w:r w:rsidRPr="00A932A2">
        <w:rPr>
          <w:rFonts w:ascii="Arial" w:hAnsi="Arial" w:cs="Arial"/>
          <w:b/>
          <w:color w:val="000000"/>
          <w:sz w:val="22"/>
        </w:rPr>
        <w:t xml:space="preserve">în vederea certificării calificării profesionale, anul şcolar ................., sesiunea </w:t>
      </w:r>
      <w:r w:rsidRPr="00A932A2">
        <w:rPr>
          <w:rFonts w:ascii="Arial" w:hAnsi="Arial" w:cs="Arial"/>
          <w:b/>
          <w:color w:val="000000"/>
          <w:sz w:val="22"/>
        </w:rPr>
        <w:t>..................................</w:t>
      </w:r>
    </w:p>
    <w:p w:rsidR="007202B3" w:rsidRPr="00A932A2" w:rsidRDefault="00421542" w:rsidP="00A932A2">
      <w:pPr>
        <w:spacing w:after="0" w:line="240" w:lineRule="auto"/>
        <w:jc w:val="center"/>
        <w:rPr>
          <w:rFonts w:ascii="Arial" w:hAnsi="Arial" w:cs="Arial"/>
          <w:sz w:val="22"/>
        </w:rPr>
      </w:pPr>
      <w:r w:rsidRPr="00A932A2">
        <w:rPr>
          <w:rFonts w:ascii="Arial" w:hAnsi="Arial" w:cs="Arial"/>
          <w:color w:val="000000"/>
          <w:sz w:val="22"/>
        </w:rPr>
        <w:t xml:space="preserve">(- Anexa nr. 4 la </w:t>
      </w:r>
      <w:r w:rsidRPr="00A932A2">
        <w:rPr>
          <w:rFonts w:ascii="Arial" w:hAnsi="Arial" w:cs="Arial"/>
          <w:color w:val="1B1B1B"/>
          <w:sz w:val="22"/>
        </w:rPr>
        <w:t>metodologie</w:t>
      </w:r>
      <w:r w:rsidRPr="00A932A2">
        <w:rPr>
          <w:rFonts w:ascii="Arial" w:hAnsi="Arial" w:cs="Arial"/>
          <w:color w:val="000000"/>
          <w:sz w:val="22"/>
        </w:rPr>
        <w:t>)</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MINISTERUL EDUCAŢIEI ŞI CERCETĂRII</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Numele şi prenumele candidatului: ......................................................................................</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 xml:space="preserve">Centrul de examen unde se susţine </w:t>
      </w:r>
      <w:r w:rsidRPr="00A932A2">
        <w:rPr>
          <w:rFonts w:ascii="Arial" w:hAnsi="Arial" w:cs="Arial"/>
          <w:color w:val="000000"/>
          <w:sz w:val="22"/>
        </w:rPr>
        <w:t>examenul: .....................................................................</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Unitatea de învăţământ de unde provine candidatul: ............................................................</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Calificarea profesională: ......................................</w:t>
      </w:r>
      <w:r w:rsidRPr="00A932A2">
        <w:rPr>
          <w:rFonts w:ascii="Arial" w:hAnsi="Arial" w:cs="Arial"/>
          <w:color w:val="000000"/>
          <w:sz w:val="22"/>
        </w:rPr>
        <w:t>.................................................................</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 xml:space="preserve">Standard de pregătire profesională (SPP), aprobat prin Ordinul ministrului educaţiei naţionale şi cercetării ştiinţifice nr. </w:t>
      </w:r>
      <w:r w:rsidRPr="00A932A2">
        <w:rPr>
          <w:rFonts w:ascii="Arial" w:hAnsi="Arial" w:cs="Arial"/>
          <w:color w:val="1B1B1B"/>
          <w:sz w:val="22"/>
        </w:rPr>
        <w:t>4.121/2016</w:t>
      </w:r>
      <w:r w:rsidRPr="00A932A2">
        <w:rPr>
          <w:rFonts w:ascii="Arial" w:hAnsi="Arial" w:cs="Arial"/>
          <w:color w:val="000000"/>
          <w:sz w:val="22"/>
        </w:rPr>
        <w:t xml:space="preserve"> privind aprobarea Standardelor de pregătire profesiona</w:t>
      </w:r>
      <w:r w:rsidRPr="00A932A2">
        <w:rPr>
          <w:rFonts w:ascii="Arial" w:hAnsi="Arial" w:cs="Arial"/>
          <w:color w:val="000000"/>
          <w:sz w:val="22"/>
        </w:rPr>
        <w:t>lă (SPP) pentru calificări profesionale de nivel 3 şi 4 ale Cadrului naţional al calificărilor, pentru care se asigură pregătirea prin învăţământul profesional şi tehnic</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Rezultatele învăţării vizate a fi atinse (conform SPP):</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1.............................</w:t>
      </w:r>
      <w:r w:rsidRPr="00A932A2">
        <w:rPr>
          <w:rFonts w:ascii="Arial" w:hAnsi="Arial" w:cs="Arial"/>
          <w:color w:val="000000"/>
          <w:sz w:val="22"/>
        </w:rPr>
        <w:t>...........................................................</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2........................................................................................</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3........................................................................................</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 Titlul proiect</w:t>
      </w:r>
      <w:r w:rsidRPr="00A932A2">
        <w:rPr>
          <w:rFonts w:ascii="Arial" w:hAnsi="Arial" w:cs="Arial"/>
          <w:color w:val="000000"/>
          <w:sz w:val="22"/>
        </w:rPr>
        <w:t>ului:</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Numele, prenumele şi specializarea îndrumătorului de proiect: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24"/>
        <w:gridCol w:w="1884"/>
        <w:gridCol w:w="3921"/>
        <w:gridCol w:w="1167"/>
        <w:gridCol w:w="1068"/>
        <w:gridCol w:w="1068"/>
      </w:tblGrid>
      <w:tr w:rsidR="007202B3" w:rsidRPr="00A932A2">
        <w:trPr>
          <w:trHeight w:val="45"/>
          <w:tblCellSpacing w:w="0" w:type="auto"/>
        </w:trPr>
        <w:tc>
          <w:tcPr>
            <w:tcW w:w="565" w:type="dxa"/>
            <w:vMerge w:val="restart"/>
            <w:tcBorders>
              <w:bottom w:val="single" w:sz="8" w:space="0" w:color="000000"/>
              <w:right w:val="single" w:sz="8" w:space="0" w:color="000000"/>
            </w:tcBorders>
            <w:tcMar>
              <w:top w:w="15" w:type="dxa"/>
              <w:left w:w="15" w:type="dxa"/>
              <w:bottom w:w="15" w:type="dxa"/>
              <w:right w:w="15" w:type="dxa"/>
            </w:tcMar>
            <w:vAlign w:val="cente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Nr. c</w:t>
            </w:r>
            <w:r w:rsidRPr="00A932A2">
              <w:rPr>
                <w:rFonts w:ascii="Arial" w:hAnsi="Arial" w:cs="Arial"/>
                <w:color w:val="000000"/>
                <w:sz w:val="20"/>
                <w:szCs w:val="20"/>
              </w:rPr>
              <w:t>rt.</w:t>
            </w:r>
          </w:p>
        </w:tc>
        <w:tc>
          <w:tcPr>
            <w:tcW w:w="2875" w:type="dxa"/>
            <w:vMerge w:val="restart"/>
            <w:tcBorders>
              <w:bottom w:val="single" w:sz="8" w:space="0" w:color="000000"/>
              <w:right w:val="single" w:sz="8" w:space="0" w:color="000000"/>
            </w:tcBorders>
            <w:tcMar>
              <w:top w:w="15" w:type="dxa"/>
              <w:left w:w="15" w:type="dxa"/>
              <w:bottom w:w="15" w:type="dxa"/>
              <w:right w:w="15" w:type="dxa"/>
            </w:tcMar>
            <w:vAlign w:val="cente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Criterii de evaluare</w:t>
            </w:r>
            <w:r w:rsidRPr="00A932A2">
              <w:rPr>
                <w:rFonts w:ascii="Arial" w:hAnsi="Arial" w:cs="Arial"/>
                <w:color w:val="000000"/>
                <w:sz w:val="20"/>
                <w:szCs w:val="20"/>
                <w:vertAlign w:val="superscript"/>
              </w:rPr>
              <w:t>1</w:t>
            </w:r>
            <w:r w:rsidRPr="00A932A2">
              <w:rPr>
                <w:rFonts w:ascii="Arial" w:hAnsi="Arial" w:cs="Arial"/>
                <w:color w:val="000000"/>
                <w:sz w:val="20"/>
                <w:szCs w:val="20"/>
              </w:rPr>
              <w:t xml:space="preserve"> a proiectului realizat de candidat</w:t>
            </w:r>
          </w:p>
        </w:tc>
        <w:tc>
          <w:tcPr>
            <w:tcW w:w="6798" w:type="dxa"/>
            <w:vMerge w:val="restart"/>
            <w:tcBorders>
              <w:bottom w:val="single" w:sz="8" w:space="0" w:color="000000"/>
              <w:right w:val="single" w:sz="8" w:space="0" w:color="000000"/>
            </w:tcBorders>
            <w:tcMar>
              <w:top w:w="15" w:type="dxa"/>
              <w:left w:w="15" w:type="dxa"/>
              <w:bottom w:w="15" w:type="dxa"/>
              <w:right w:w="15" w:type="dxa"/>
            </w:tcMar>
            <w:vAlign w:val="cente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Indicatori de realizare</w:t>
            </w:r>
            <w:r w:rsidRPr="00A932A2">
              <w:rPr>
                <w:rFonts w:ascii="Arial" w:hAnsi="Arial" w:cs="Arial"/>
                <w:color w:val="000000"/>
                <w:sz w:val="20"/>
                <w:szCs w:val="20"/>
                <w:vertAlign w:val="superscript"/>
              </w:rPr>
              <w:t>2</w:t>
            </w:r>
          </w:p>
        </w:tc>
        <w:tc>
          <w:tcPr>
            <w:tcW w:w="1552" w:type="dxa"/>
            <w:vMerge w:val="restart"/>
            <w:tcBorders>
              <w:bottom w:val="single" w:sz="8" w:space="0" w:color="000000"/>
              <w:right w:val="single" w:sz="8" w:space="0" w:color="000000"/>
            </w:tcBorders>
            <w:tcMar>
              <w:top w:w="15" w:type="dxa"/>
              <w:left w:w="15" w:type="dxa"/>
              <w:bottom w:w="15" w:type="dxa"/>
              <w:right w:w="15" w:type="dxa"/>
            </w:tcMar>
            <w:vAlign w:val="cente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Punctajul maxim pe indicator</w:t>
            </w:r>
          </w:p>
        </w:tc>
        <w:tc>
          <w:tcPr>
            <w:tcW w:w="0" w:type="auto"/>
            <w:gridSpan w:val="2"/>
            <w:tcBorders>
              <w:bottom w:val="single" w:sz="8" w:space="0" w:color="000000"/>
              <w:right w:val="single" w:sz="8" w:space="0" w:color="000000"/>
            </w:tcBorders>
            <w:tcMar>
              <w:top w:w="15" w:type="dxa"/>
              <w:left w:w="15" w:type="dxa"/>
              <w:bottom w:w="15" w:type="dxa"/>
              <w:right w:w="15" w:type="dxa"/>
            </w:tcMar>
            <w:vAlign w:val="cente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Punctajul acordat</w:t>
            </w: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Evaluator 1</w:t>
            </w:r>
          </w:p>
        </w:tc>
        <w:tc>
          <w:tcPr>
            <w:tcW w:w="1305" w:type="dxa"/>
            <w:tcBorders>
              <w:bottom w:val="single" w:sz="8" w:space="0" w:color="000000"/>
              <w:right w:val="single" w:sz="8" w:space="0" w:color="000000"/>
            </w:tcBorders>
            <w:tcMar>
              <w:top w:w="15" w:type="dxa"/>
              <w:left w:w="15" w:type="dxa"/>
              <w:bottom w:w="15" w:type="dxa"/>
              <w:right w:w="15" w:type="dxa"/>
            </w:tcMar>
            <w:vAlign w:val="cente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Evaluator 2</w:t>
            </w:r>
          </w:p>
        </w:tc>
      </w:tr>
      <w:tr w:rsidR="007202B3" w:rsidRPr="00A932A2">
        <w:trPr>
          <w:trHeight w:val="45"/>
          <w:tblCellSpacing w:w="0" w:type="auto"/>
        </w:trPr>
        <w:tc>
          <w:tcPr>
            <w:tcW w:w="565" w:type="dxa"/>
            <w:vMerge w:val="restart"/>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w:t>
            </w:r>
          </w:p>
        </w:tc>
        <w:tc>
          <w:tcPr>
            <w:tcW w:w="2875" w:type="dxa"/>
            <w:vMerge w:val="restart"/>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Planificarea elaborării proiectului (20 p)</w:t>
            </w:r>
          </w:p>
        </w:tc>
        <w:tc>
          <w:tcPr>
            <w:tcW w:w="6798"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 xml:space="preserve">Organizarea conţinuturilor este realizată </w:t>
            </w:r>
            <w:r w:rsidRPr="00A932A2">
              <w:rPr>
                <w:rFonts w:ascii="Arial" w:hAnsi="Arial" w:cs="Arial"/>
                <w:color w:val="000000"/>
                <w:sz w:val="20"/>
                <w:szCs w:val="20"/>
              </w:rPr>
              <w:t>într-o manieră logică şi coerentă.</w:t>
            </w:r>
          </w:p>
        </w:tc>
        <w:tc>
          <w:tcPr>
            <w:tcW w:w="155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10 p</w:t>
            </w: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6798"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Documentarea în vederea realizării temei de proiect este corespunzătoare.</w:t>
            </w:r>
          </w:p>
        </w:tc>
        <w:tc>
          <w:tcPr>
            <w:tcW w:w="155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10 p</w:t>
            </w: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565" w:type="dxa"/>
            <w:vMerge w:val="restart"/>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2.</w:t>
            </w:r>
          </w:p>
        </w:tc>
        <w:tc>
          <w:tcPr>
            <w:tcW w:w="2875" w:type="dxa"/>
            <w:vMerge w:val="restart"/>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Realizarea părţii scrise a proiectului (80 p)</w:t>
            </w:r>
          </w:p>
        </w:tc>
        <w:tc>
          <w:tcPr>
            <w:tcW w:w="6798"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Modul de dezvoltare a conţinuturilor se raportează adecvat şi echilibrat la tema</w:t>
            </w:r>
            <w:r w:rsidRPr="00A932A2">
              <w:rPr>
                <w:rFonts w:ascii="Arial" w:hAnsi="Arial" w:cs="Arial"/>
                <w:color w:val="000000"/>
                <w:sz w:val="20"/>
                <w:szCs w:val="20"/>
              </w:rPr>
              <w:t xml:space="preserve"> proiectului.</w:t>
            </w:r>
          </w:p>
        </w:tc>
        <w:tc>
          <w:tcPr>
            <w:tcW w:w="155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15 p</w:t>
            </w: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6798"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Dezvoltarea conţinuturilor este realizată astfel încât să fie abordate toate aspectele esenţiale necesare unei corecte argumentări a ideilor.</w:t>
            </w:r>
          </w:p>
        </w:tc>
        <w:tc>
          <w:tcPr>
            <w:tcW w:w="155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30 p</w:t>
            </w: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6798"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Proiectul poate avea aplicabilitate practică.</w:t>
            </w:r>
          </w:p>
        </w:tc>
        <w:tc>
          <w:tcPr>
            <w:tcW w:w="155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10 p</w:t>
            </w: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6798"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 xml:space="preserve">Prezentarea normelor de </w:t>
            </w:r>
            <w:r w:rsidRPr="00A932A2">
              <w:rPr>
                <w:rFonts w:ascii="Arial" w:hAnsi="Arial" w:cs="Arial"/>
                <w:color w:val="000000"/>
                <w:sz w:val="20"/>
                <w:szCs w:val="20"/>
              </w:rPr>
              <w:t>sănătate şi securitate în muncă, PSI şi protecţia mediului aplicabile la tema dată</w:t>
            </w:r>
          </w:p>
        </w:tc>
        <w:tc>
          <w:tcPr>
            <w:tcW w:w="155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15 p</w:t>
            </w: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6798"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Utilizarea terminologiei de specialitate în redactarea proiectului</w:t>
            </w:r>
          </w:p>
        </w:tc>
        <w:tc>
          <w:tcPr>
            <w:tcW w:w="155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10 p</w:t>
            </w: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0" w:type="auto"/>
            <w:gridSpan w:val="3"/>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b/>
                <w:color w:val="000000"/>
                <w:sz w:val="20"/>
                <w:szCs w:val="20"/>
              </w:rPr>
              <w:t>PUNCTAJ TOTAL</w:t>
            </w:r>
          </w:p>
        </w:tc>
        <w:tc>
          <w:tcPr>
            <w:tcW w:w="155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100 p</w:t>
            </w: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305"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0" w:type="auto"/>
            <w:gridSpan w:val="4"/>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b/>
                <w:color w:val="000000"/>
                <w:sz w:val="20"/>
                <w:szCs w:val="20"/>
              </w:rPr>
              <w:t>PUNCTAJ FINAL</w:t>
            </w:r>
          </w:p>
        </w:tc>
        <w:tc>
          <w:tcPr>
            <w:tcW w:w="0" w:type="auto"/>
            <w:gridSpan w:val="2"/>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bl>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lastRenderedPageBreak/>
        <w:t>Rezultatul final stabilit de comisia de examinare</w:t>
      </w:r>
      <w:r w:rsidRPr="00A932A2">
        <w:rPr>
          <w:rFonts w:ascii="Arial" w:hAnsi="Arial" w:cs="Arial"/>
          <w:color w:val="000000"/>
          <w:sz w:val="20"/>
          <w:szCs w:val="20"/>
        </w:rPr>
        <w:t xml:space="preserve"> pe baza evaluării proiectului:</w:t>
      </w:r>
    </w:p>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Admis</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45"/>
        <w:gridCol w:w="2117"/>
        <w:gridCol w:w="1729"/>
        <w:gridCol w:w="1693"/>
        <w:gridCol w:w="1678"/>
        <w:gridCol w:w="1870"/>
      </w:tblGrid>
      <w:tr w:rsidR="007202B3" w:rsidRPr="00A932A2">
        <w:trPr>
          <w:trHeight w:val="45"/>
          <w:tblCellSpacing w:w="0" w:type="auto"/>
        </w:trPr>
        <w:tc>
          <w:tcPr>
            <w:tcW w:w="540" w:type="dxa"/>
            <w:vMerge w:val="restart"/>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2373" w:type="dxa"/>
            <w:vMerge w:val="restart"/>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Cu punctajul final</w:t>
            </w:r>
          </w:p>
        </w:tc>
        <w:tc>
          <w:tcPr>
            <w:tcW w:w="194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100 p - 95 p</w:t>
            </w:r>
          </w:p>
        </w:tc>
        <w:tc>
          <w:tcPr>
            <w:tcW w:w="1941"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94,99 p - 85 p</w:t>
            </w:r>
          </w:p>
        </w:tc>
        <w:tc>
          <w:tcPr>
            <w:tcW w:w="1941"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84,99 p - 75 p</w:t>
            </w:r>
          </w:p>
        </w:tc>
        <w:tc>
          <w:tcPr>
            <w:tcW w:w="2049"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74,99 p - 60 p</w:t>
            </w: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1942"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941"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941"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2049"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2373"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Cu calificativul</w:t>
            </w:r>
          </w:p>
        </w:tc>
        <w:tc>
          <w:tcPr>
            <w:tcW w:w="1942"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Excelent</w:t>
            </w:r>
          </w:p>
        </w:tc>
        <w:tc>
          <w:tcPr>
            <w:tcW w:w="1941"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Foarte bine</w:t>
            </w:r>
          </w:p>
        </w:tc>
        <w:tc>
          <w:tcPr>
            <w:tcW w:w="1941"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Bine</w:t>
            </w:r>
          </w:p>
        </w:tc>
        <w:tc>
          <w:tcPr>
            <w:tcW w:w="2049"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Satisfăcător</w:t>
            </w:r>
          </w:p>
        </w:tc>
      </w:tr>
      <w:tr w:rsidR="007202B3" w:rsidRPr="00A932A2">
        <w:trPr>
          <w:trHeight w:val="45"/>
          <w:tblCellSpacing w:w="0" w:type="auto"/>
        </w:trPr>
        <w:tc>
          <w:tcPr>
            <w:tcW w:w="0" w:type="auto"/>
            <w:vMerge/>
            <w:tcBorders>
              <w:top w:val="nil"/>
              <w:bottom w:val="single" w:sz="8" w:space="0" w:color="000000"/>
              <w:right w:val="single" w:sz="8" w:space="0" w:color="000000"/>
            </w:tcBorders>
          </w:tcPr>
          <w:p w:rsidR="007202B3" w:rsidRPr="00A932A2" w:rsidRDefault="007202B3" w:rsidP="00A932A2">
            <w:pPr>
              <w:spacing w:after="0" w:line="240" w:lineRule="auto"/>
              <w:rPr>
                <w:rFonts w:ascii="Arial" w:hAnsi="Arial" w:cs="Arial"/>
                <w:sz w:val="20"/>
                <w:szCs w:val="20"/>
              </w:rPr>
            </w:pPr>
          </w:p>
        </w:tc>
        <w:tc>
          <w:tcPr>
            <w:tcW w:w="2373"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942"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941"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1941"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c>
          <w:tcPr>
            <w:tcW w:w="2049" w:type="dxa"/>
            <w:tcBorders>
              <w:bottom w:val="single" w:sz="8" w:space="0" w:color="000000"/>
              <w:right w:val="single" w:sz="8" w:space="0" w:color="000000"/>
            </w:tcBorders>
            <w:tcMar>
              <w:top w:w="15" w:type="dxa"/>
              <w:left w:w="15" w:type="dxa"/>
              <w:bottom w:w="15" w:type="dxa"/>
              <w:right w:w="15" w:type="dxa"/>
            </w:tcMar>
          </w:tcPr>
          <w:p w:rsidR="007202B3" w:rsidRPr="00A932A2" w:rsidRDefault="007202B3" w:rsidP="00A932A2">
            <w:pPr>
              <w:spacing w:after="0" w:line="240" w:lineRule="auto"/>
              <w:rPr>
                <w:rFonts w:ascii="Arial" w:hAnsi="Arial" w:cs="Arial"/>
                <w:sz w:val="20"/>
                <w:szCs w:val="20"/>
              </w:rPr>
            </w:pPr>
          </w:p>
        </w:tc>
      </w:tr>
    </w:tbl>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Respins |_| Cu punctajul final |________|</w:t>
      </w:r>
    </w:p>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 xml:space="preserve">Evaluatori (numele, </w:t>
      </w:r>
      <w:r w:rsidRPr="00A932A2">
        <w:rPr>
          <w:rFonts w:ascii="Arial" w:hAnsi="Arial" w:cs="Arial"/>
          <w:color w:val="000000"/>
          <w:sz w:val="20"/>
          <w:szCs w:val="20"/>
        </w:rPr>
        <w:t>prenumele şi semnătura):</w:t>
      </w:r>
    </w:p>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Evaluator 1: ...............................................................</w:t>
      </w:r>
    </w:p>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Evaluator 2: ...............................................................</w:t>
      </w:r>
    </w:p>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Data: .......................................</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5100"/>
      </w:tblGrid>
      <w:tr w:rsidR="007202B3" w:rsidRPr="00A932A2">
        <w:trPr>
          <w:trHeight w:val="45"/>
          <w:tblCellSpacing w:w="0" w:type="auto"/>
        </w:trPr>
        <w:tc>
          <w:tcPr>
            <w:tcW w:w="5100" w:type="dxa"/>
            <w:tcBorders>
              <w:bottom w:val="single" w:sz="8" w:space="0" w:color="000000"/>
              <w:right w:val="single" w:sz="8" w:space="0" w:color="000000"/>
            </w:tcBorders>
            <w:tcMar>
              <w:top w:w="15" w:type="dxa"/>
              <w:left w:w="15" w:type="dxa"/>
              <w:bottom w:w="15" w:type="dxa"/>
              <w:right w:w="15" w:type="dxa"/>
            </w:tcMar>
          </w:tcPr>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Preşedinte de comisie,</w:t>
            </w:r>
          </w:p>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w:t>
            </w:r>
          </w:p>
          <w:p w:rsidR="007202B3" w:rsidRPr="00A932A2" w:rsidRDefault="00421542" w:rsidP="00A932A2">
            <w:pPr>
              <w:spacing w:after="0" w:line="240" w:lineRule="auto"/>
              <w:jc w:val="both"/>
              <w:rPr>
                <w:rFonts w:ascii="Arial" w:hAnsi="Arial" w:cs="Arial"/>
                <w:sz w:val="20"/>
                <w:szCs w:val="20"/>
              </w:rPr>
            </w:pPr>
            <w:r w:rsidRPr="00A932A2">
              <w:rPr>
                <w:rFonts w:ascii="Arial" w:hAnsi="Arial" w:cs="Arial"/>
                <w:color w:val="000000"/>
                <w:sz w:val="20"/>
                <w:szCs w:val="20"/>
              </w:rPr>
              <w:t>(numele, prenumele şi semnătura)</w:t>
            </w:r>
          </w:p>
        </w:tc>
      </w:tr>
    </w:tbl>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rPr>
        <w:t>________</w:t>
      </w:r>
    </w:p>
    <w:p w:rsidR="007202B3" w:rsidRPr="00A932A2" w:rsidRDefault="00421542" w:rsidP="00A932A2">
      <w:pPr>
        <w:spacing w:after="0" w:line="240" w:lineRule="auto"/>
        <w:jc w:val="both"/>
        <w:rPr>
          <w:rFonts w:ascii="Arial" w:hAnsi="Arial" w:cs="Arial"/>
          <w:sz w:val="22"/>
        </w:rPr>
      </w:pPr>
      <w:r w:rsidRPr="00A932A2">
        <w:rPr>
          <w:rFonts w:ascii="Arial" w:hAnsi="Arial" w:cs="Arial"/>
          <w:color w:val="000000"/>
          <w:sz w:val="22"/>
          <w:vertAlign w:val="superscript"/>
        </w:rPr>
        <w:t>1</w:t>
      </w:r>
      <w:r w:rsidRPr="00A932A2">
        <w:rPr>
          <w:rFonts w:ascii="Arial" w:hAnsi="Arial" w:cs="Arial"/>
          <w:color w:val="000000"/>
          <w:sz w:val="22"/>
        </w:rPr>
        <w:t xml:space="preserve"> Criteriile de evaluare sunt enunţuri asociate competenţelor/rezultatelor învăţării care specifică cu mai multă exactitate rezultatele elevului, prin indicarea unor standarde prin care se poate măsura nivelul de dobândire a competenţei. Fiecărui criteriu i</w:t>
      </w:r>
      <w:r w:rsidRPr="00A932A2">
        <w:rPr>
          <w:rFonts w:ascii="Arial" w:hAnsi="Arial" w:cs="Arial"/>
          <w:color w:val="000000"/>
          <w:sz w:val="22"/>
        </w:rPr>
        <w:t xml:space="preserve"> se alocă un punctaj maxim.</w:t>
      </w:r>
    </w:p>
    <w:p w:rsidR="007202B3" w:rsidRDefault="00421542" w:rsidP="00A932A2">
      <w:pPr>
        <w:spacing w:after="0" w:line="240" w:lineRule="auto"/>
        <w:jc w:val="both"/>
        <w:rPr>
          <w:rFonts w:ascii="Arial" w:hAnsi="Arial" w:cs="Arial"/>
          <w:color w:val="000000"/>
          <w:sz w:val="22"/>
        </w:rPr>
      </w:pPr>
      <w:r w:rsidRPr="00A932A2">
        <w:rPr>
          <w:rFonts w:ascii="Arial" w:hAnsi="Arial" w:cs="Arial"/>
          <w:color w:val="000000"/>
          <w:sz w:val="22"/>
          <w:vertAlign w:val="superscript"/>
        </w:rPr>
        <w:t>2</w:t>
      </w:r>
      <w:r w:rsidRPr="00A932A2">
        <w:rPr>
          <w:rFonts w:ascii="Arial" w:hAnsi="Arial" w:cs="Arial"/>
          <w:color w:val="000000"/>
          <w:sz w:val="22"/>
        </w:rPr>
        <w:t xml:space="preserve"> Fiecare criteriu este detaliat prin indicatori de realizare, definiţi în relaţie cu competenţele/rezultatele învăţării. Fiecărui indicator i se alocă un număr de puncte. Suma punctelor indicatorilor este egală cu punctajul max</w:t>
      </w:r>
      <w:r w:rsidRPr="00A932A2">
        <w:rPr>
          <w:rFonts w:ascii="Arial" w:hAnsi="Arial" w:cs="Arial"/>
          <w:color w:val="000000"/>
          <w:sz w:val="22"/>
        </w:rPr>
        <w:t>im al criteriului.</w:t>
      </w:r>
    </w:p>
    <w:p w:rsidR="00421542" w:rsidRPr="00A932A2" w:rsidRDefault="00421542" w:rsidP="00A932A2">
      <w:pPr>
        <w:spacing w:after="0" w:line="240" w:lineRule="auto"/>
        <w:jc w:val="both"/>
        <w:rPr>
          <w:rFonts w:ascii="Arial" w:hAnsi="Arial" w:cs="Arial"/>
          <w:sz w:val="22"/>
        </w:rPr>
      </w:pPr>
      <w:bookmarkStart w:id="0" w:name="_GoBack"/>
      <w:bookmarkEnd w:id="0"/>
    </w:p>
    <w:p w:rsidR="00A932A2" w:rsidRPr="00A932A2" w:rsidRDefault="00A932A2" w:rsidP="00A932A2">
      <w:pPr>
        <w:spacing w:after="0" w:line="240" w:lineRule="auto"/>
        <w:jc w:val="both"/>
        <w:rPr>
          <w:rFonts w:ascii="Arial" w:hAnsi="Arial" w:cs="Arial"/>
          <w:color w:val="000000"/>
          <w:sz w:val="22"/>
        </w:rPr>
      </w:pPr>
      <w:r w:rsidRPr="00A932A2">
        <w:rPr>
          <w:rFonts w:ascii="Arial" w:hAnsi="Arial" w:cs="Arial"/>
          <w:color w:val="000000"/>
          <w:sz w:val="22"/>
        </w:rPr>
        <w:t>___________________________</w:t>
      </w:r>
    </w:p>
    <w:p w:rsidR="007202B3" w:rsidRPr="00A932A2" w:rsidRDefault="00421542" w:rsidP="00A932A2">
      <w:pPr>
        <w:spacing w:after="0" w:line="240" w:lineRule="auto"/>
        <w:jc w:val="both"/>
        <w:rPr>
          <w:rFonts w:ascii="Arial" w:hAnsi="Arial" w:cs="Arial"/>
          <w:color w:val="000000"/>
          <w:sz w:val="22"/>
        </w:rPr>
      </w:pPr>
      <w:r w:rsidRPr="00A932A2">
        <w:rPr>
          <w:rFonts w:ascii="Arial" w:hAnsi="Arial" w:cs="Arial"/>
          <w:color w:val="000000"/>
          <w:sz w:val="22"/>
        </w:rPr>
        <w:t>Publicat în Monitorul Oficial cu numărul 441 din data de 26 mai 2020</w:t>
      </w:r>
    </w:p>
    <w:p w:rsidR="00A932A2" w:rsidRPr="00A932A2" w:rsidRDefault="00A932A2" w:rsidP="00A932A2">
      <w:pPr>
        <w:spacing w:after="0" w:line="240" w:lineRule="auto"/>
        <w:rPr>
          <w:rFonts w:ascii="Arial" w:hAnsi="Arial" w:cs="Arial"/>
          <w:b/>
          <w:sz w:val="22"/>
        </w:rPr>
      </w:pPr>
      <w:r w:rsidRPr="00A932A2">
        <w:rPr>
          <w:rFonts w:ascii="Arial" w:hAnsi="Arial" w:cs="Arial"/>
          <w:b/>
          <w:color w:val="000000"/>
          <w:sz w:val="22"/>
        </w:rPr>
        <w:t xml:space="preserve">Intră în vigoare la data de </w:t>
      </w:r>
      <w:r w:rsidRPr="00A932A2">
        <w:rPr>
          <w:rFonts w:ascii="Arial" w:hAnsi="Arial" w:cs="Arial"/>
          <w:b/>
          <w:color w:val="000000"/>
          <w:sz w:val="22"/>
        </w:rPr>
        <w:t>26 mai 2020</w:t>
      </w:r>
    </w:p>
    <w:sectPr w:rsidR="00A932A2" w:rsidRPr="00A932A2" w:rsidSect="00A932A2">
      <w:pgSz w:w="11907" w:h="16839" w:code="9"/>
      <w:pgMar w:top="851" w:right="850" w:bottom="426"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C5238"/>
    <w:multiLevelType w:val="multilevel"/>
    <w:tmpl w:val="F4261260"/>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B3"/>
    <w:rsid w:val="00190136"/>
    <w:rsid w:val="00421542"/>
    <w:rsid w:val="006B0007"/>
    <w:rsid w:val="007202B3"/>
    <w:rsid w:val="00A932A2"/>
    <w:rsid w:val="00C17C3F"/>
    <w:rsid w:val="00EB4F6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pl-PL"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character" w:customStyle="1" w:styleId="alb">
    <w:name w:val="a_lb"/>
    <w:basedOn w:val="DefaultParagraphFont"/>
    <w:rsid w:val="00190136"/>
  </w:style>
  <w:style w:type="character" w:customStyle="1" w:styleId="atl">
    <w:name w:val="a_tl"/>
    <w:basedOn w:val="DefaultParagraphFont"/>
    <w:rsid w:val="001901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pl-PL"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Times New Roman" w:eastAsia="Times New Roman" w:hAnsi="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character" w:customStyle="1" w:styleId="alb">
    <w:name w:val="a_lb"/>
    <w:basedOn w:val="DefaultParagraphFont"/>
    <w:rsid w:val="00190136"/>
  </w:style>
  <w:style w:type="character" w:customStyle="1" w:styleId="atl">
    <w:name w:val="a_tl"/>
    <w:basedOn w:val="DefaultParagraphFont"/>
    <w:rsid w:val="00190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025656">
      <w:bodyDiv w:val="1"/>
      <w:marLeft w:val="0"/>
      <w:marRight w:val="0"/>
      <w:marTop w:val="0"/>
      <w:marBottom w:val="0"/>
      <w:divBdr>
        <w:top w:val="none" w:sz="0" w:space="0" w:color="auto"/>
        <w:left w:val="none" w:sz="0" w:space="0" w:color="auto"/>
        <w:bottom w:val="none" w:sz="0" w:space="0" w:color="auto"/>
        <w:right w:val="none" w:sz="0" w:space="0" w:color="auto"/>
      </w:divBdr>
      <w:divsChild>
        <w:div w:id="1427191096">
          <w:marLeft w:val="0"/>
          <w:marRight w:val="0"/>
          <w:marTop w:val="240"/>
          <w:marBottom w:val="0"/>
          <w:divBdr>
            <w:top w:val="none" w:sz="0" w:space="0" w:color="auto"/>
            <w:left w:val="none" w:sz="0" w:space="0" w:color="auto"/>
            <w:bottom w:val="none" w:sz="0" w:space="0" w:color="auto"/>
            <w:right w:val="none" w:sz="0" w:space="0" w:color="auto"/>
          </w:divBdr>
        </w:div>
        <w:div w:id="1065882859">
          <w:marLeft w:val="0"/>
          <w:marRight w:val="0"/>
          <w:marTop w:val="240"/>
          <w:marBottom w:val="0"/>
          <w:divBdr>
            <w:top w:val="none" w:sz="0" w:space="0" w:color="auto"/>
            <w:left w:val="none" w:sz="0" w:space="0" w:color="auto"/>
            <w:bottom w:val="none" w:sz="0" w:space="0" w:color="auto"/>
            <w:right w:val="none" w:sz="0" w:space="0" w:color="auto"/>
          </w:divBdr>
          <w:divsChild>
            <w:div w:id="1909731305">
              <w:marLeft w:val="0"/>
              <w:marRight w:val="0"/>
              <w:marTop w:val="0"/>
              <w:marBottom w:val="240"/>
              <w:divBdr>
                <w:top w:val="none" w:sz="0" w:space="0" w:color="auto"/>
                <w:left w:val="none" w:sz="0" w:space="0" w:color="auto"/>
                <w:bottom w:val="none" w:sz="0" w:space="0" w:color="auto"/>
                <w:right w:val="none" w:sz="0" w:space="0" w:color="auto"/>
              </w:divBdr>
              <w:divsChild>
                <w:div w:id="814297595">
                  <w:marLeft w:val="0"/>
                  <w:marRight w:val="0"/>
                  <w:marTop w:val="72"/>
                  <w:marBottom w:val="0"/>
                  <w:divBdr>
                    <w:top w:val="none" w:sz="0" w:space="0" w:color="auto"/>
                    <w:left w:val="none" w:sz="0" w:space="0" w:color="auto"/>
                    <w:bottom w:val="none" w:sz="0" w:space="0" w:color="auto"/>
                    <w:right w:val="none" w:sz="0" w:space="0" w:color="auto"/>
                  </w:divBdr>
                </w:div>
                <w:div w:id="8608701">
                  <w:marLeft w:val="0"/>
                  <w:marRight w:val="0"/>
                  <w:marTop w:val="72"/>
                  <w:marBottom w:val="0"/>
                  <w:divBdr>
                    <w:top w:val="none" w:sz="0" w:space="0" w:color="auto"/>
                    <w:left w:val="none" w:sz="0" w:space="0" w:color="auto"/>
                    <w:bottom w:val="none" w:sz="0" w:space="0" w:color="auto"/>
                    <w:right w:val="none" w:sz="0" w:space="0" w:color="auto"/>
                  </w:divBdr>
                </w:div>
                <w:div w:id="1974555507">
                  <w:marLeft w:val="0"/>
                  <w:marRight w:val="0"/>
                  <w:marTop w:val="72"/>
                  <w:marBottom w:val="0"/>
                  <w:divBdr>
                    <w:top w:val="none" w:sz="0" w:space="0" w:color="auto"/>
                    <w:left w:val="none" w:sz="0" w:space="0" w:color="auto"/>
                    <w:bottom w:val="none" w:sz="0" w:space="0" w:color="auto"/>
                    <w:right w:val="none" w:sz="0" w:space="0" w:color="auto"/>
                  </w:divBdr>
                </w:div>
              </w:divsChild>
            </w:div>
            <w:div w:id="1257908366">
              <w:marLeft w:val="0"/>
              <w:marRight w:val="0"/>
              <w:marTop w:val="0"/>
              <w:marBottom w:val="240"/>
              <w:divBdr>
                <w:top w:val="none" w:sz="0" w:space="0" w:color="auto"/>
                <w:left w:val="none" w:sz="0" w:space="0" w:color="auto"/>
                <w:bottom w:val="none" w:sz="0" w:space="0" w:color="auto"/>
                <w:right w:val="none" w:sz="0" w:space="0" w:color="auto"/>
              </w:divBdr>
              <w:divsChild>
                <w:div w:id="165364188">
                  <w:marLeft w:val="0"/>
                  <w:marRight w:val="0"/>
                  <w:marTop w:val="72"/>
                  <w:marBottom w:val="0"/>
                  <w:divBdr>
                    <w:top w:val="none" w:sz="0" w:space="0" w:color="auto"/>
                    <w:left w:val="none" w:sz="0" w:space="0" w:color="auto"/>
                    <w:bottom w:val="none" w:sz="0" w:space="0" w:color="auto"/>
                    <w:right w:val="none" w:sz="0" w:space="0" w:color="auto"/>
                  </w:divBdr>
                </w:div>
                <w:div w:id="1086652647">
                  <w:marLeft w:val="0"/>
                  <w:marRight w:val="0"/>
                  <w:marTop w:val="72"/>
                  <w:marBottom w:val="0"/>
                  <w:divBdr>
                    <w:top w:val="none" w:sz="0" w:space="0" w:color="auto"/>
                    <w:left w:val="none" w:sz="0" w:space="0" w:color="auto"/>
                    <w:bottom w:val="none" w:sz="0" w:space="0" w:color="auto"/>
                    <w:right w:val="none" w:sz="0" w:space="0" w:color="auto"/>
                  </w:divBdr>
                </w:div>
                <w:div w:id="717973120">
                  <w:marLeft w:val="0"/>
                  <w:marRight w:val="0"/>
                  <w:marTop w:val="72"/>
                  <w:marBottom w:val="0"/>
                  <w:divBdr>
                    <w:top w:val="none" w:sz="0" w:space="0" w:color="auto"/>
                    <w:left w:val="none" w:sz="0" w:space="0" w:color="auto"/>
                    <w:bottom w:val="none" w:sz="0" w:space="0" w:color="auto"/>
                    <w:right w:val="none" w:sz="0" w:space="0" w:color="auto"/>
                  </w:divBdr>
                </w:div>
                <w:div w:id="1413159796">
                  <w:marLeft w:val="0"/>
                  <w:marRight w:val="0"/>
                  <w:marTop w:val="72"/>
                  <w:marBottom w:val="0"/>
                  <w:divBdr>
                    <w:top w:val="none" w:sz="0" w:space="0" w:color="auto"/>
                    <w:left w:val="none" w:sz="0" w:space="0" w:color="auto"/>
                    <w:bottom w:val="none" w:sz="0" w:space="0" w:color="auto"/>
                    <w:right w:val="none" w:sz="0" w:space="0" w:color="auto"/>
                  </w:divBdr>
                </w:div>
                <w:div w:id="1347906940">
                  <w:marLeft w:val="0"/>
                  <w:marRight w:val="0"/>
                  <w:marTop w:val="72"/>
                  <w:marBottom w:val="0"/>
                  <w:divBdr>
                    <w:top w:val="none" w:sz="0" w:space="0" w:color="auto"/>
                    <w:left w:val="none" w:sz="0" w:space="0" w:color="auto"/>
                    <w:bottom w:val="none" w:sz="0" w:space="0" w:color="auto"/>
                    <w:right w:val="none" w:sz="0" w:space="0" w:color="auto"/>
                  </w:divBdr>
                </w:div>
              </w:divsChild>
            </w:div>
            <w:div w:id="1423530642">
              <w:marLeft w:val="0"/>
              <w:marRight w:val="0"/>
              <w:marTop w:val="0"/>
              <w:marBottom w:val="240"/>
              <w:divBdr>
                <w:top w:val="none" w:sz="0" w:space="0" w:color="auto"/>
                <w:left w:val="none" w:sz="0" w:space="0" w:color="auto"/>
                <w:bottom w:val="none" w:sz="0" w:space="0" w:color="auto"/>
                <w:right w:val="none" w:sz="0" w:space="0" w:color="auto"/>
              </w:divBdr>
              <w:divsChild>
                <w:div w:id="1653296086">
                  <w:marLeft w:val="0"/>
                  <w:marRight w:val="0"/>
                  <w:marTop w:val="72"/>
                  <w:marBottom w:val="0"/>
                  <w:divBdr>
                    <w:top w:val="none" w:sz="0" w:space="0" w:color="auto"/>
                    <w:left w:val="none" w:sz="0" w:space="0" w:color="auto"/>
                    <w:bottom w:val="none" w:sz="0" w:space="0" w:color="auto"/>
                    <w:right w:val="none" w:sz="0" w:space="0" w:color="auto"/>
                  </w:divBdr>
                </w:div>
                <w:div w:id="165899178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300229264">
      <w:bodyDiv w:val="1"/>
      <w:marLeft w:val="0"/>
      <w:marRight w:val="0"/>
      <w:marTop w:val="0"/>
      <w:marBottom w:val="0"/>
      <w:divBdr>
        <w:top w:val="none" w:sz="0" w:space="0" w:color="auto"/>
        <w:left w:val="none" w:sz="0" w:space="0" w:color="auto"/>
        <w:bottom w:val="none" w:sz="0" w:space="0" w:color="auto"/>
        <w:right w:val="none" w:sz="0" w:space="0" w:color="auto"/>
      </w:divBdr>
      <w:divsChild>
        <w:div w:id="141120501">
          <w:marLeft w:val="0"/>
          <w:marRight w:val="0"/>
          <w:marTop w:val="72"/>
          <w:marBottom w:val="0"/>
          <w:divBdr>
            <w:top w:val="none" w:sz="0" w:space="0" w:color="auto"/>
            <w:left w:val="none" w:sz="0" w:space="0" w:color="auto"/>
            <w:bottom w:val="none" w:sz="0" w:space="0" w:color="auto"/>
            <w:right w:val="none" w:sz="0" w:space="0" w:color="auto"/>
          </w:divBdr>
          <w:divsChild>
            <w:div w:id="1011571086">
              <w:marLeft w:val="0"/>
              <w:marRight w:val="0"/>
              <w:marTop w:val="0"/>
              <w:marBottom w:val="0"/>
              <w:divBdr>
                <w:top w:val="none" w:sz="0" w:space="0" w:color="auto"/>
                <w:left w:val="none" w:sz="0" w:space="0" w:color="auto"/>
                <w:bottom w:val="none" w:sz="0" w:space="0" w:color="auto"/>
                <w:right w:val="none" w:sz="0" w:space="0" w:color="auto"/>
              </w:divBdr>
            </w:div>
            <w:div w:id="950403645">
              <w:marLeft w:val="0"/>
              <w:marRight w:val="0"/>
              <w:marTop w:val="0"/>
              <w:marBottom w:val="0"/>
              <w:divBdr>
                <w:top w:val="none" w:sz="0" w:space="0" w:color="auto"/>
                <w:left w:val="none" w:sz="0" w:space="0" w:color="auto"/>
                <w:bottom w:val="none" w:sz="0" w:space="0" w:color="auto"/>
                <w:right w:val="none" w:sz="0" w:space="0" w:color="auto"/>
              </w:divBdr>
            </w:div>
            <w:div w:id="1692956332">
              <w:marLeft w:val="0"/>
              <w:marRight w:val="0"/>
              <w:marTop w:val="0"/>
              <w:marBottom w:val="0"/>
              <w:divBdr>
                <w:top w:val="none" w:sz="0" w:space="0" w:color="auto"/>
                <w:left w:val="none" w:sz="0" w:space="0" w:color="auto"/>
                <w:bottom w:val="none" w:sz="0" w:space="0" w:color="auto"/>
                <w:right w:val="none" w:sz="0" w:space="0" w:color="auto"/>
              </w:divBdr>
            </w:div>
            <w:div w:id="1102526846">
              <w:marLeft w:val="0"/>
              <w:marRight w:val="0"/>
              <w:marTop w:val="0"/>
              <w:marBottom w:val="0"/>
              <w:divBdr>
                <w:top w:val="none" w:sz="0" w:space="0" w:color="auto"/>
                <w:left w:val="none" w:sz="0" w:space="0" w:color="auto"/>
                <w:bottom w:val="none" w:sz="0" w:space="0" w:color="auto"/>
                <w:right w:val="none" w:sz="0" w:space="0" w:color="auto"/>
              </w:divBdr>
            </w:div>
            <w:div w:id="636031451">
              <w:marLeft w:val="0"/>
              <w:marRight w:val="0"/>
              <w:marTop w:val="72"/>
              <w:marBottom w:val="0"/>
              <w:divBdr>
                <w:top w:val="none" w:sz="0" w:space="0" w:color="auto"/>
                <w:left w:val="none" w:sz="0" w:space="0" w:color="auto"/>
                <w:bottom w:val="none" w:sz="0" w:space="0" w:color="auto"/>
                <w:right w:val="none" w:sz="0" w:space="0" w:color="auto"/>
              </w:divBdr>
            </w:div>
          </w:divsChild>
        </w:div>
        <w:div w:id="1941595540">
          <w:marLeft w:val="0"/>
          <w:marRight w:val="0"/>
          <w:marTop w:val="72"/>
          <w:marBottom w:val="0"/>
          <w:divBdr>
            <w:top w:val="none" w:sz="0" w:space="0" w:color="auto"/>
            <w:left w:val="none" w:sz="0" w:space="0" w:color="auto"/>
            <w:bottom w:val="none" w:sz="0" w:space="0" w:color="auto"/>
            <w:right w:val="none" w:sz="0" w:space="0" w:color="auto"/>
          </w:divBdr>
        </w:div>
      </w:divsChild>
    </w:div>
    <w:div w:id="993604277">
      <w:bodyDiv w:val="1"/>
      <w:marLeft w:val="0"/>
      <w:marRight w:val="0"/>
      <w:marTop w:val="0"/>
      <w:marBottom w:val="0"/>
      <w:divBdr>
        <w:top w:val="none" w:sz="0" w:space="0" w:color="auto"/>
        <w:left w:val="none" w:sz="0" w:space="0" w:color="auto"/>
        <w:bottom w:val="none" w:sz="0" w:space="0" w:color="auto"/>
        <w:right w:val="none" w:sz="0" w:space="0" w:color="auto"/>
      </w:divBdr>
      <w:divsChild>
        <w:div w:id="1384911702">
          <w:marLeft w:val="0"/>
          <w:marRight w:val="0"/>
          <w:marTop w:val="72"/>
          <w:marBottom w:val="0"/>
          <w:divBdr>
            <w:top w:val="none" w:sz="0" w:space="0" w:color="auto"/>
            <w:left w:val="none" w:sz="0" w:space="0" w:color="auto"/>
            <w:bottom w:val="none" w:sz="0" w:space="0" w:color="auto"/>
            <w:right w:val="none" w:sz="0" w:space="0" w:color="auto"/>
          </w:divBdr>
        </w:div>
        <w:div w:id="1422800762">
          <w:marLeft w:val="0"/>
          <w:marRight w:val="0"/>
          <w:marTop w:val="72"/>
          <w:marBottom w:val="0"/>
          <w:divBdr>
            <w:top w:val="none" w:sz="0" w:space="0" w:color="auto"/>
            <w:left w:val="none" w:sz="0" w:space="0" w:color="auto"/>
            <w:bottom w:val="none" w:sz="0" w:space="0" w:color="auto"/>
            <w:right w:val="none" w:sz="0" w:space="0" w:color="auto"/>
          </w:divBdr>
        </w:div>
        <w:div w:id="1228104923">
          <w:marLeft w:val="0"/>
          <w:marRight w:val="0"/>
          <w:marTop w:val="72"/>
          <w:marBottom w:val="0"/>
          <w:divBdr>
            <w:top w:val="none" w:sz="0" w:space="0" w:color="auto"/>
            <w:left w:val="none" w:sz="0" w:space="0" w:color="auto"/>
            <w:bottom w:val="none" w:sz="0" w:space="0" w:color="auto"/>
            <w:right w:val="none" w:sz="0" w:space="0" w:color="auto"/>
          </w:divBdr>
        </w:div>
        <w:div w:id="958612842">
          <w:marLeft w:val="0"/>
          <w:marRight w:val="0"/>
          <w:marTop w:val="72"/>
          <w:marBottom w:val="0"/>
          <w:divBdr>
            <w:top w:val="none" w:sz="0" w:space="0" w:color="auto"/>
            <w:left w:val="none" w:sz="0" w:space="0" w:color="auto"/>
            <w:bottom w:val="none" w:sz="0" w:space="0" w:color="auto"/>
            <w:right w:val="none" w:sz="0" w:space="0" w:color="auto"/>
          </w:divBdr>
        </w:div>
        <w:div w:id="555170195">
          <w:marLeft w:val="0"/>
          <w:marRight w:val="0"/>
          <w:marTop w:val="72"/>
          <w:marBottom w:val="0"/>
          <w:divBdr>
            <w:top w:val="none" w:sz="0" w:space="0" w:color="auto"/>
            <w:left w:val="none" w:sz="0" w:space="0" w:color="auto"/>
            <w:bottom w:val="none" w:sz="0" w:space="0" w:color="auto"/>
            <w:right w:val="none" w:sz="0" w:space="0" w:color="auto"/>
          </w:divBdr>
        </w:div>
        <w:div w:id="1222013348">
          <w:marLeft w:val="0"/>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3622</Words>
  <Characters>21014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dc:creator>
  <cp:lastModifiedBy>Ioana</cp:lastModifiedBy>
  <cp:revision>7</cp:revision>
  <dcterms:created xsi:type="dcterms:W3CDTF">2020-05-27T05:58:00Z</dcterms:created>
  <dcterms:modified xsi:type="dcterms:W3CDTF">2020-05-27T06:12:00Z</dcterms:modified>
</cp:coreProperties>
</file>